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351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u w:val="none"/>
          <w:bdr w:val="none" w:color="auto" w:sz="0" w:space="0"/>
          <w:shd w:val="clear" w:fill="FFFFFF"/>
        </w:rPr>
        <w:t>岗位要求</w:t>
      </w:r>
    </w:p>
    <w:tbl>
      <w:tblPr>
        <w:tblW w:w="78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764"/>
        <w:gridCol w:w="5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人数</w:t>
            </w:r>
          </w:p>
        </w:tc>
        <w:tc>
          <w:tcPr>
            <w:tcW w:w="5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岗位招聘条件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专职辅导员岗位1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17</w:t>
            </w:r>
          </w:p>
        </w:tc>
        <w:tc>
          <w:tcPr>
            <w:tcW w:w="5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专业不限；本科及以上学历；40周岁及以下（1979年9月1日以后出生）；本科及以上学历者要求具有2年及以上高校工作经历，全日制硕士研究生学历、学位及以上者要求具有1年及以上高校工作经历。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专职辅导员岗位2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8</w:t>
            </w:r>
          </w:p>
        </w:tc>
        <w:tc>
          <w:tcPr>
            <w:tcW w:w="5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7"/>
                <w:szCs w:val="17"/>
                <w:u w:val="none"/>
                <w:bdr w:val="none" w:color="auto" w:sz="0" w:space="0"/>
              </w:rPr>
              <w:t>专业不限；全日制硕士研究生学历、学位及以上；30周岁及以下（1989年9月1日以后出生）；限应届毕业生。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C1D0A"/>
    <w:rsid w:val="738C1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2020-09-09T07:17:00Z</dcterms:created>
  <dc:creator>ASUS</dc:creator>
  <cp:lastModifiedBy>ASUS</cp:lastModifiedBy>
  <dcterms:modified xsi:type="dcterms:W3CDTF">2020-09-09T07:17:58Z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