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</w:rPr>
        <w:t>区府办机关雇员招聘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  <w:t>岗位</w:t>
      </w:r>
    </w:p>
    <w:tbl>
      <w:tblPr>
        <w:tblW w:w="95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1242"/>
        <w:gridCol w:w="1620"/>
        <w:gridCol w:w="1106"/>
        <w:gridCol w:w="1767"/>
        <w:gridCol w:w="1174"/>
        <w:gridCol w:w="1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2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名称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简介</w:t>
            </w:r>
          </w:p>
        </w:tc>
        <w:tc>
          <w:tcPr>
            <w:tcW w:w="11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对象</w:t>
            </w:r>
          </w:p>
        </w:tc>
        <w:tc>
          <w:tcPr>
            <w:tcW w:w="11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8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</w:trPr>
        <w:tc>
          <w:tcPr>
            <w:tcW w:w="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区府总值班室岗位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从事疫情防控工作、应急处置工作，需值夜班，适合男性。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全日制大专以上学历的往届毕业生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不限专业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具有3年以上政府部门应急处置工作经历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</w:trPr>
        <w:tc>
          <w:tcPr>
            <w:tcW w:w="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区府办调研室岗位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从事调研室材料写作有关工作。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全日制大专以上学历的往届毕业生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不限专业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肇庆市户籍；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具有1年以上县（市、区）以上政府调研室（调研股、调研处、调研部）工作经历</w:t>
            </w:r>
          </w:p>
        </w:tc>
      </w:tr>
      <w:bookmarkEnd w:id="0"/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2378"/>
    <w:rsid w:val="27752378"/>
    <w:rsid w:val="354D6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2020-09-15T08:03:00Z</dcterms:created>
  <dc:creator>ASUS</dc:creator>
  <cp:lastModifiedBy>ASUS</cp:lastModifiedBy>
  <dcterms:modified xsi:type="dcterms:W3CDTF">2020-09-15T08:04:13Z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