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30"/>
          <w:szCs w:val="30"/>
        </w:rPr>
      </w:pPr>
      <w:r>
        <w:rPr>
          <w:rFonts w:hint="eastAsia" w:ascii="仿宋" w:hAnsi="仿宋" w:eastAsia="仿宋" w:cs="宋体"/>
          <w:color w:val="000000"/>
          <w:kern w:val="0"/>
          <w:sz w:val="30"/>
          <w:szCs w:val="30"/>
        </w:rPr>
        <w:t>附件一</w:t>
      </w: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 xml:space="preserve">  </w:t>
      </w: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 xml:space="preserve">    </w:t>
      </w:r>
      <w:r>
        <w:rPr>
          <w:rFonts w:hint="eastAsia" w:asciiTheme="majorEastAsia" w:hAnsiTheme="majorEastAsia" w:eastAsiaTheme="majorEastAsia"/>
          <w:sz w:val="32"/>
          <w:szCs w:val="32"/>
        </w:rPr>
        <w:t xml:space="preserve">  </w:t>
      </w:r>
    </w:p>
    <w:p>
      <w:pPr>
        <w:spacing w:line="560" w:lineRule="exact"/>
        <w:ind w:firstLine="640" w:firstLineChars="2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kern w:val="0"/>
          <w:sz w:val="32"/>
          <w:szCs w:val="32"/>
        </w:rPr>
        <w:t>湖州南浔绿色产业谷有限公司</w:t>
      </w:r>
      <w:r>
        <w:rPr>
          <w:rFonts w:hint="eastAsia" w:ascii="方正小标宋简体" w:hAnsi="方正小标宋简体" w:eastAsia="方正小标宋简体" w:cs="方正小标宋简体"/>
          <w:sz w:val="32"/>
          <w:szCs w:val="32"/>
        </w:rPr>
        <w:t>人才需求表</w:t>
      </w:r>
    </w:p>
    <w:p>
      <w:pPr>
        <w:spacing w:line="560" w:lineRule="exact"/>
        <w:ind w:firstLine="640" w:firstLineChars="200"/>
        <w:jc w:val="center"/>
        <w:rPr>
          <w:rFonts w:ascii="方正小标宋简体" w:hAnsi="方正小标宋简体" w:eastAsia="方正小标宋简体" w:cs="方正小标宋简体"/>
          <w:sz w:val="32"/>
          <w:szCs w:val="32"/>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10"/>
        <w:gridCol w:w="1457"/>
        <w:gridCol w:w="972"/>
        <w:gridCol w:w="1867"/>
        <w:gridCol w:w="1656"/>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6"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2810"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公司名称</w:t>
            </w:r>
          </w:p>
        </w:tc>
        <w:tc>
          <w:tcPr>
            <w:tcW w:w="1457"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岗位</w:t>
            </w:r>
          </w:p>
        </w:tc>
        <w:tc>
          <w:tcPr>
            <w:tcW w:w="972"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人数</w:t>
            </w:r>
          </w:p>
        </w:tc>
        <w:tc>
          <w:tcPr>
            <w:tcW w:w="1867"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专业</w:t>
            </w:r>
          </w:p>
        </w:tc>
        <w:tc>
          <w:tcPr>
            <w:tcW w:w="1656"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学历</w:t>
            </w:r>
          </w:p>
        </w:tc>
        <w:tc>
          <w:tcPr>
            <w:tcW w:w="4638" w:type="dxa"/>
            <w:vAlign w:val="center"/>
          </w:tcPr>
          <w:p>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76" w:type="dxa"/>
            <w:vAlign w:val="center"/>
          </w:tcPr>
          <w:p>
            <w:pPr>
              <w:spacing w:line="560" w:lineRule="exact"/>
              <w:jc w:val="center"/>
              <w:rPr>
                <w:rFonts w:ascii="仿宋" w:hAnsi="仿宋" w:eastAsia="仿宋" w:cs="Times New Roman"/>
                <w:szCs w:val="20"/>
              </w:rPr>
            </w:pPr>
            <w:r>
              <w:rPr>
                <w:rFonts w:hint="eastAsia" w:ascii="仿宋" w:hAnsi="仿宋" w:eastAsia="仿宋" w:cs="Times New Roman"/>
                <w:szCs w:val="20"/>
              </w:rPr>
              <w:t>1</w:t>
            </w:r>
          </w:p>
        </w:tc>
        <w:tc>
          <w:tcPr>
            <w:tcW w:w="2810" w:type="dxa"/>
            <w:vAlign w:val="center"/>
          </w:tcPr>
          <w:p>
            <w:pPr>
              <w:spacing w:line="560" w:lineRule="exact"/>
              <w:jc w:val="center"/>
              <w:rPr>
                <w:rFonts w:ascii="仿宋" w:hAnsi="仿宋" w:eastAsia="仿宋" w:cs="Times New Roman"/>
                <w:sz w:val="24"/>
                <w:szCs w:val="24"/>
              </w:rPr>
            </w:pPr>
            <w:r>
              <w:rPr>
                <w:rFonts w:hint="eastAsia" w:ascii="仿宋" w:hAnsi="仿宋" w:eastAsia="仿宋" w:cs="Times New Roman"/>
                <w:sz w:val="24"/>
                <w:szCs w:val="24"/>
              </w:rPr>
              <w:t>湖州南浔绿色产业谷有限公司</w:t>
            </w:r>
          </w:p>
        </w:tc>
        <w:tc>
          <w:tcPr>
            <w:tcW w:w="145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9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1867"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新闻学、广告学、汉语言文学、行政管理等相关专业</w:t>
            </w:r>
          </w:p>
        </w:tc>
        <w:tc>
          <w:tcPr>
            <w:tcW w:w="165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全日制本科及以上</w:t>
            </w:r>
          </w:p>
        </w:tc>
        <w:tc>
          <w:tcPr>
            <w:tcW w:w="4638" w:type="dxa"/>
            <w:vAlign w:val="center"/>
          </w:tcPr>
          <w:p>
            <w:pPr>
              <w:jc w:val="left"/>
              <w:rPr>
                <w:rFonts w:ascii="仿宋" w:hAnsi="仿宋" w:eastAsia="仿宋" w:cs="Times New Roman"/>
                <w:color w:val="FF0000"/>
                <w:sz w:val="24"/>
                <w:szCs w:val="24"/>
              </w:rPr>
            </w:pPr>
            <w:r>
              <w:rPr>
                <w:rFonts w:hint="eastAsia" w:ascii="仿宋" w:hAnsi="仿宋" w:eastAsia="仿宋" w:cs="Times New Roman"/>
                <w:sz w:val="24"/>
                <w:szCs w:val="24"/>
              </w:rPr>
              <w:t>35周岁以下，两年以上工作经历，文字功底扎实，熟悉互联网。有长期从事多媒体艺术设计、活动宣传策划方面工作经历可适当放宽学历和年龄要求。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6" w:type="dxa"/>
            <w:vAlign w:val="center"/>
          </w:tcPr>
          <w:p>
            <w:pPr>
              <w:spacing w:line="560" w:lineRule="exact"/>
              <w:jc w:val="center"/>
              <w:rPr>
                <w:rFonts w:ascii="仿宋" w:hAnsi="仿宋" w:eastAsia="仿宋" w:cs="Times New Roman"/>
                <w:szCs w:val="20"/>
              </w:rPr>
            </w:pPr>
            <w:r>
              <w:rPr>
                <w:rFonts w:hint="eastAsia" w:ascii="仿宋" w:hAnsi="仿宋" w:eastAsia="仿宋" w:cs="Times New Roman"/>
                <w:szCs w:val="20"/>
              </w:rPr>
              <w:t>2</w:t>
            </w:r>
          </w:p>
        </w:tc>
        <w:tc>
          <w:tcPr>
            <w:tcW w:w="2810" w:type="dxa"/>
            <w:vAlign w:val="center"/>
          </w:tcPr>
          <w:p>
            <w:pPr>
              <w:spacing w:line="560" w:lineRule="exact"/>
              <w:jc w:val="center"/>
              <w:rPr>
                <w:rFonts w:ascii="仿宋" w:hAnsi="仿宋" w:eastAsia="仿宋" w:cs="Times New Roman"/>
                <w:sz w:val="24"/>
                <w:szCs w:val="24"/>
              </w:rPr>
            </w:pPr>
            <w:r>
              <w:rPr>
                <w:rFonts w:hint="eastAsia" w:ascii="仿宋" w:hAnsi="仿宋" w:eastAsia="仿宋" w:cs="Times New Roman"/>
                <w:sz w:val="24"/>
                <w:szCs w:val="24"/>
              </w:rPr>
              <w:t>湖州南浔绿色产业谷有限公司</w:t>
            </w:r>
          </w:p>
        </w:tc>
        <w:tc>
          <w:tcPr>
            <w:tcW w:w="145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财务</w:t>
            </w:r>
          </w:p>
        </w:tc>
        <w:tc>
          <w:tcPr>
            <w:tcW w:w="9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1867"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会计学，财务管理等相关专业</w:t>
            </w:r>
          </w:p>
        </w:tc>
        <w:tc>
          <w:tcPr>
            <w:tcW w:w="165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全日制本科及以上</w:t>
            </w:r>
          </w:p>
        </w:tc>
        <w:tc>
          <w:tcPr>
            <w:tcW w:w="4638" w:type="dxa"/>
            <w:vAlign w:val="center"/>
          </w:tcPr>
          <w:p>
            <w:pPr>
              <w:jc w:val="left"/>
              <w:rPr>
                <w:rFonts w:ascii="仿宋" w:hAnsi="仿宋" w:eastAsia="仿宋" w:cs="Times New Roman"/>
                <w:color w:val="FF0000"/>
                <w:sz w:val="24"/>
                <w:szCs w:val="24"/>
              </w:rPr>
            </w:pPr>
            <w:r>
              <w:rPr>
                <w:rFonts w:hint="eastAsia" w:ascii="仿宋" w:hAnsi="仿宋" w:eastAsia="仿宋" w:cs="Times New Roman"/>
                <w:sz w:val="24"/>
                <w:szCs w:val="24"/>
              </w:rPr>
              <w:t>35周岁以下，两年以上工作经历，具有会计初级资格证书。有长期从事会计工作经历可适当放宽学历和年龄要求。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76" w:type="dxa"/>
            <w:vAlign w:val="center"/>
          </w:tcPr>
          <w:p>
            <w:pPr>
              <w:spacing w:line="560" w:lineRule="exact"/>
              <w:jc w:val="center"/>
              <w:rPr>
                <w:rFonts w:ascii="仿宋" w:hAnsi="仿宋" w:eastAsia="仿宋" w:cs="Times New Roman"/>
                <w:szCs w:val="20"/>
              </w:rPr>
            </w:pPr>
            <w:r>
              <w:rPr>
                <w:rFonts w:hint="eastAsia" w:ascii="仿宋" w:hAnsi="仿宋" w:eastAsia="仿宋" w:cs="Times New Roman"/>
                <w:szCs w:val="20"/>
              </w:rPr>
              <w:t>3</w:t>
            </w:r>
          </w:p>
        </w:tc>
        <w:tc>
          <w:tcPr>
            <w:tcW w:w="2810" w:type="dxa"/>
            <w:vAlign w:val="center"/>
          </w:tcPr>
          <w:p>
            <w:pPr>
              <w:spacing w:line="560" w:lineRule="exact"/>
              <w:jc w:val="center"/>
              <w:rPr>
                <w:rFonts w:ascii="仿宋" w:hAnsi="仿宋" w:eastAsia="仿宋" w:cs="Times New Roman"/>
                <w:kern w:val="0"/>
                <w:sz w:val="24"/>
                <w:szCs w:val="24"/>
              </w:rPr>
            </w:pPr>
            <w:r>
              <w:rPr>
                <w:rFonts w:hint="eastAsia" w:ascii="仿宋" w:hAnsi="仿宋" w:eastAsia="仿宋" w:cs="Times New Roman"/>
                <w:sz w:val="24"/>
                <w:szCs w:val="24"/>
              </w:rPr>
              <w:t>湖州南浔绿色产业谷有限公司</w:t>
            </w:r>
          </w:p>
        </w:tc>
        <w:tc>
          <w:tcPr>
            <w:tcW w:w="145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规划建设</w:t>
            </w:r>
          </w:p>
        </w:tc>
        <w:tc>
          <w:tcPr>
            <w:tcW w:w="9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1867" w:type="dxa"/>
            <w:vAlign w:val="center"/>
          </w:tcPr>
          <w:p>
            <w:pPr>
              <w:spacing w:line="240" w:lineRule="exact"/>
              <w:jc w:val="center"/>
              <w:rPr>
                <w:rFonts w:ascii="仿宋" w:hAnsi="仿宋" w:eastAsia="仿宋" w:cs="Times New Roman"/>
                <w:sz w:val="24"/>
                <w:szCs w:val="24"/>
              </w:rPr>
            </w:pPr>
            <w:r>
              <w:rPr>
                <w:rFonts w:hint="eastAsia" w:ascii="仿宋" w:hAnsi="仿宋" w:eastAsia="仿宋" w:cs="Times New Roman"/>
                <w:sz w:val="24"/>
                <w:szCs w:val="24"/>
              </w:rPr>
              <w:t>土木工程、工程管理、城乡规划等相关专业</w:t>
            </w:r>
          </w:p>
        </w:tc>
        <w:tc>
          <w:tcPr>
            <w:tcW w:w="165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全日制本科及以上</w:t>
            </w:r>
          </w:p>
        </w:tc>
        <w:tc>
          <w:tcPr>
            <w:tcW w:w="4638" w:type="dxa"/>
            <w:vAlign w:val="center"/>
          </w:tcPr>
          <w:p>
            <w:pPr>
              <w:jc w:val="left"/>
              <w:rPr>
                <w:rFonts w:ascii="仿宋" w:hAnsi="仿宋" w:eastAsia="仿宋" w:cs="Times New Roman"/>
                <w:color w:val="FF0000"/>
                <w:sz w:val="24"/>
                <w:szCs w:val="24"/>
              </w:rPr>
            </w:pPr>
            <w:r>
              <w:rPr>
                <w:rFonts w:hint="eastAsia" w:ascii="仿宋" w:hAnsi="仿宋" w:eastAsia="仿宋" w:cs="Times New Roman"/>
                <w:sz w:val="24"/>
                <w:szCs w:val="24"/>
              </w:rPr>
              <w:t>28周岁以上，45周岁以下，两年以上工作经历，具有工程师职称。有长期从事城乡规划或项目建设方面工作经历可适当放宽学历和年龄要求。</w:t>
            </w:r>
          </w:p>
        </w:tc>
      </w:tr>
    </w:tbl>
    <w:p>
      <w:pPr>
        <w:rPr>
          <w:sz w:val="30"/>
          <w:szCs w:val="30"/>
        </w:rPr>
        <w:sectPr>
          <w:pgSz w:w="16838" w:h="11906" w:orient="landscape"/>
          <w:pgMar w:top="1800" w:right="1440" w:bottom="1800" w:left="1440" w:header="851" w:footer="992" w:gutter="0"/>
          <w:cols w:space="425" w:num="1"/>
          <w:docGrid w:type="lines" w:linePitch="312" w:charSpace="0"/>
        </w:sectPr>
      </w:pPr>
    </w:p>
    <w:p>
      <w:pPr>
        <w:rPr>
          <w:sz w:val="30"/>
          <w:szCs w:val="30"/>
        </w:rPr>
      </w:pPr>
      <w:bookmarkStart w:id="0" w:name="_GoBack"/>
      <w:bookmarkEnd w:id="0"/>
    </w:p>
    <w:sectPr>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C0"/>
    <w:rsid w:val="00003AF0"/>
    <w:rsid w:val="00016624"/>
    <w:rsid w:val="0002241F"/>
    <w:rsid w:val="00056FF0"/>
    <w:rsid w:val="00067882"/>
    <w:rsid w:val="00096A36"/>
    <w:rsid w:val="000A3A8A"/>
    <w:rsid w:val="000B7F81"/>
    <w:rsid w:val="000C7318"/>
    <w:rsid w:val="000E67DD"/>
    <w:rsid w:val="001559E9"/>
    <w:rsid w:val="00205218"/>
    <w:rsid w:val="002663C5"/>
    <w:rsid w:val="002D60CF"/>
    <w:rsid w:val="002E121D"/>
    <w:rsid w:val="00342447"/>
    <w:rsid w:val="003433C2"/>
    <w:rsid w:val="00394BF9"/>
    <w:rsid w:val="003956E1"/>
    <w:rsid w:val="003A2896"/>
    <w:rsid w:val="003E37D3"/>
    <w:rsid w:val="004176FE"/>
    <w:rsid w:val="004418DB"/>
    <w:rsid w:val="004B64D5"/>
    <w:rsid w:val="004C36DC"/>
    <w:rsid w:val="00511F32"/>
    <w:rsid w:val="0052519E"/>
    <w:rsid w:val="00561405"/>
    <w:rsid w:val="00577CE3"/>
    <w:rsid w:val="00597418"/>
    <w:rsid w:val="005F6976"/>
    <w:rsid w:val="00641F67"/>
    <w:rsid w:val="00653ECE"/>
    <w:rsid w:val="00691152"/>
    <w:rsid w:val="006A67DB"/>
    <w:rsid w:val="007B4C16"/>
    <w:rsid w:val="007C5DF8"/>
    <w:rsid w:val="007E18C0"/>
    <w:rsid w:val="008748B0"/>
    <w:rsid w:val="008E177B"/>
    <w:rsid w:val="008E54E4"/>
    <w:rsid w:val="008E70C2"/>
    <w:rsid w:val="008E7855"/>
    <w:rsid w:val="009142E1"/>
    <w:rsid w:val="009B5A99"/>
    <w:rsid w:val="009C3FBA"/>
    <w:rsid w:val="009D22A0"/>
    <w:rsid w:val="009D5948"/>
    <w:rsid w:val="00A029CE"/>
    <w:rsid w:val="00A326FF"/>
    <w:rsid w:val="00A372B3"/>
    <w:rsid w:val="00A7782F"/>
    <w:rsid w:val="00AC61E0"/>
    <w:rsid w:val="00AC6F3B"/>
    <w:rsid w:val="00AF3B7A"/>
    <w:rsid w:val="00AF4BF5"/>
    <w:rsid w:val="00B12F2C"/>
    <w:rsid w:val="00BA66CF"/>
    <w:rsid w:val="00BB09D6"/>
    <w:rsid w:val="00C541E8"/>
    <w:rsid w:val="00C57848"/>
    <w:rsid w:val="00C57926"/>
    <w:rsid w:val="00C81B77"/>
    <w:rsid w:val="00D26DBA"/>
    <w:rsid w:val="00D778D4"/>
    <w:rsid w:val="00D9666A"/>
    <w:rsid w:val="00DC23C0"/>
    <w:rsid w:val="00DC5FD9"/>
    <w:rsid w:val="00E017E1"/>
    <w:rsid w:val="00E754C4"/>
    <w:rsid w:val="00ED0D64"/>
    <w:rsid w:val="00EE32F5"/>
    <w:rsid w:val="00F16771"/>
    <w:rsid w:val="00F33099"/>
    <w:rsid w:val="00F80959"/>
    <w:rsid w:val="00F90CDA"/>
    <w:rsid w:val="00FE3936"/>
    <w:rsid w:val="05131B18"/>
    <w:rsid w:val="08F84271"/>
    <w:rsid w:val="0DDF54BA"/>
    <w:rsid w:val="105268DA"/>
    <w:rsid w:val="12194E4C"/>
    <w:rsid w:val="128535F4"/>
    <w:rsid w:val="1C5E4194"/>
    <w:rsid w:val="23994B06"/>
    <w:rsid w:val="287B3F31"/>
    <w:rsid w:val="28DB3963"/>
    <w:rsid w:val="2ED4043C"/>
    <w:rsid w:val="357F0141"/>
    <w:rsid w:val="3E68013E"/>
    <w:rsid w:val="401548EB"/>
    <w:rsid w:val="419C116B"/>
    <w:rsid w:val="43201C10"/>
    <w:rsid w:val="4E4C22A1"/>
    <w:rsid w:val="5C601A79"/>
    <w:rsid w:val="640C44B1"/>
    <w:rsid w:val="643B001A"/>
    <w:rsid w:val="6542642C"/>
    <w:rsid w:val="662C4480"/>
    <w:rsid w:val="66DC1EDF"/>
    <w:rsid w:val="67DE5ABD"/>
    <w:rsid w:val="6A6E4A59"/>
    <w:rsid w:val="6B982829"/>
    <w:rsid w:val="72D83335"/>
    <w:rsid w:val="77243BF1"/>
    <w:rsid w:val="78AB7703"/>
    <w:rsid w:val="7C2D420E"/>
    <w:rsid w:val="7C84497B"/>
    <w:rsid w:val="7DD5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ADC99-B9CE-4331-AF3E-1D9BA8E8694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Words>
  <Characters>2139</Characters>
  <Lines>17</Lines>
  <Paragraphs>5</Paragraphs>
  <TotalTime>44</TotalTime>
  <ScaleCrop>false</ScaleCrop>
  <LinksUpToDate>false</LinksUpToDate>
  <CharactersWithSpaces>2509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2020-09-11T05:41:00Z</dcterms:created>
  <dc:creator>cuiy</dc:creator>
  <cp:lastModifiedBy>Administrator</cp:lastModifiedBy>
  <dcterms:modified xsi:type="dcterms:W3CDTF">2020-09-15T03:22:33Z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