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eastAsia" w:ascii="方正黑体_GBK" w:hAnsi="Times New Roman" w:eastAsia="方正黑体_GBK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Times New Roman" w:eastAsia="方正黑体_GBK" w:cs="Times New Roman"/>
          <w:sz w:val="32"/>
          <w:szCs w:val="32"/>
        </w:rPr>
        <w:t>附件</w:t>
      </w:r>
      <w:r>
        <w:rPr>
          <w:rFonts w:hint="eastAsia" w:ascii="方正黑体_GBK" w:hAnsi="Times New Roman" w:eastAsia="方正黑体_GBK" w:cs="Times New Roman"/>
          <w:sz w:val="32"/>
          <w:szCs w:val="32"/>
          <w:lang w:val="en-US" w:eastAsia="zh-CN"/>
        </w:rPr>
        <w:t>5</w:t>
      </w:r>
    </w:p>
    <w:p>
      <w:pPr>
        <w:overflowPunct w:val="0"/>
        <w:rPr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“双一流”建设高校名单</w:t>
      </w: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（按学校代码排序）</w:t>
      </w:r>
    </w:p>
    <w:p>
      <w:pPr>
        <w:overflowPunct w:val="0"/>
        <w:spacing w:line="560" w:lineRule="exact"/>
        <w:ind w:firstLine="643" w:firstLineChars="200"/>
        <w:rPr>
          <w:rFonts w:ascii="方正楷体简体" w:hAnsi="方正楷体简体" w:eastAsia="方正楷体简体" w:cs="方正楷体简体"/>
          <w:b/>
          <w:bCs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一、一流大学建设高校42所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1. A类36所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2. B类6所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二、一流学科建设高校95所</w:t>
      </w:r>
    </w:p>
    <w:p>
      <w:pPr>
        <w:overflowPunct w:val="0"/>
        <w:spacing w:line="56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82"/>
    <w:rsid w:val="00413379"/>
    <w:rsid w:val="00A6799D"/>
    <w:rsid w:val="00D12582"/>
    <w:rsid w:val="240C6C2F"/>
    <w:rsid w:val="28F5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825</Characters>
  <Lines>6</Lines>
  <Paragraphs>1</Paragraphs>
  <TotalTime>0</TotalTime>
  <ScaleCrop>false</ScaleCrop>
  <LinksUpToDate>false</LinksUpToDate>
  <CharactersWithSpaces>968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2017-09-21T02:13:00Z</dcterms:created>
  <dc:creator>谢沂楠</dc:creator>
  <cp:lastModifiedBy>ぺ灬cc果冻ル</cp:lastModifiedBy>
  <dcterms:modified xsi:type="dcterms:W3CDTF">2020-09-16T02:49:03Z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