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10" w:type="dxa"/>
        <w:tblInd w:w="0" w:type="dxa"/>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1082"/>
        <w:gridCol w:w="1229"/>
        <w:gridCol w:w="410"/>
        <w:gridCol w:w="770"/>
        <w:gridCol w:w="2327"/>
        <w:gridCol w:w="3392"/>
      </w:tblGrid>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1110" w:hRule="atLeast"/>
        </w:trPr>
        <w:tc>
          <w:tcPr>
            <w:tcW w:w="990"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所属学院</w:t>
            </w:r>
          </w:p>
        </w:tc>
        <w:tc>
          <w:tcPr>
            <w:tcW w:w="112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专业方向</w:t>
            </w:r>
          </w:p>
        </w:tc>
        <w:tc>
          <w:tcPr>
            <w:tcW w:w="37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数量</w:t>
            </w:r>
          </w:p>
        </w:tc>
        <w:tc>
          <w:tcPr>
            <w:tcW w:w="70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学历要求</w:t>
            </w:r>
          </w:p>
        </w:tc>
        <w:tc>
          <w:tcPr>
            <w:tcW w:w="2130"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岗位说明</w:t>
            </w:r>
          </w:p>
        </w:tc>
        <w:tc>
          <w:tcPr>
            <w:tcW w:w="3105" w:type="dxa"/>
            <w:tcBorders>
              <w:top w:val="single" w:color="000000" w:sz="6" w:space="0"/>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pPr>
            <w:r>
              <w:rPr>
                <w:rStyle w:val="7"/>
                <w:rFonts w:hint="eastAsia" w:ascii="宋体" w:hAnsi="宋体" w:eastAsia="宋体" w:cs="宋体"/>
                <w:i w:val="0"/>
                <w:caps w:val="0"/>
                <w:color w:val="333333"/>
                <w:spacing w:val="0"/>
                <w:sz w:val="21"/>
                <w:szCs w:val="21"/>
                <w:bdr w:val="none" w:color="auto" w:sz="0" w:space="0"/>
              </w:rPr>
              <w:t>职位要求</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1306" w:hRule="atLeast"/>
        </w:trPr>
        <w:tc>
          <w:tcPr>
            <w:tcW w:w="990" w:type="dxa"/>
            <w:tcBorders>
              <w:top w:val="nil"/>
              <w:left w:val="single" w:color="000000" w:sz="6" w:space="0"/>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智能制造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学院</w:t>
            </w:r>
          </w:p>
        </w:tc>
        <w:tc>
          <w:tcPr>
            <w:tcW w:w="112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汽车服务工程</w:t>
            </w:r>
          </w:p>
        </w:tc>
        <w:tc>
          <w:tcPr>
            <w:tcW w:w="37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承担汽车服务工程专业学科基础课、专业课、实践环节的教学及相关领域的研究工作。</w:t>
            </w:r>
          </w:p>
        </w:tc>
        <w:tc>
          <w:tcPr>
            <w:tcW w:w="3105" w:type="dxa"/>
            <w:tcBorders>
              <w:top w:val="nil"/>
              <w:left w:val="nil"/>
              <w:bottom w:val="single" w:color="000000"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热爱教师职业，敬业精神强，具备大学教师所需的基本素质。博士和有中级及以上技术职称及实践经验人员优先。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2536" w:hRule="atLeast"/>
        </w:trPr>
        <w:tc>
          <w:tcPr>
            <w:tcW w:w="990" w:type="dxa"/>
            <w:tcBorders>
              <w:top w:val="nil"/>
              <w:left w:val="single" w:color="000000"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信息学院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计算机科学与技术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（软件工程）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 </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5人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承担计算机、软件类相关课程教学及教学、科研项目申报工作。</w:t>
            </w:r>
          </w:p>
        </w:tc>
        <w:tc>
          <w:tcPr>
            <w:tcW w:w="31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计算机、软件相关专业毕业（其中计算机专业：网络方向或者操作系统；软件工程专业：语言类或云计算、大数据、人工智能方向）。要求本人热爱教师职业，有较好的沟通表达能力，性格温和，工作踏实、主动，并具有扎实的理论功底和较强的实践能力，能在教研、科研方面有所钻研；具有实践经验者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1516"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信息学院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数学</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承担数学类课程教学及数学建模竞赛指导</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应用数学，计算数学等专业方向毕业。要求本人热爱教师职业，具有良好的职业素养，有较好的沟通表达能力，工作踏实、主动。具有数学建模经历或具备指导数学建模能力优先。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土建学院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土木工程、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工程管理</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2人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承担工程造价类理论课程与软件应用等实践课程的教学工作</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博士、有在造价咨询单位或者高校工作经验者。</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1381"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艺术学院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网络新媒体（新闻学、传播学、广播电视编导相关）</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2人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负责网络与新媒体专业教学和科研、指导学生参加专业竞赛</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1.能承担全媒体新闻采写编评课程教学任务，表达能力强，综合素质好；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2.具有本专业坚实的理论基础和深厚的学术造诣；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3.熟练操作PS、AI、PR、AE等软件，能承担图文处理、非线性编辑、新闻视频等课程教学任务；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4.具有博士学历或副教授职称，能胜任本学科核心课程讲授任务，且具备行业相关背景或从业经验者优先。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2251"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艺术学院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环境设计</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承担环境设计系教学和科研工作</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1、环境设计、景观设计等相关专业；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2、要求有行业经验，在景观设计类行业从事相关的工作；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3、熟悉项目施工流程和工艺，能独立完成景观方案设计。</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3061"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艺术学院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产品设计、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工业设计</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承担产品设计专业教学和科研工作</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1.能承担产品设计专业教学任务，表达能力强，综合素质好；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2.在产品设计、材料加工与模型制作领域有扎实的专业理论和丰富项目实践经验，科研能力较强者优先；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3.具有博士学历、海外留学经历、高校讲师职称和有行业从业经验者优先。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2521"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艺术学院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数字媒体艺术、动画、数字媒体技术</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承担数字媒体艺术专业教学和科研工作</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1.具有本专业3D游戏角色建模或游戏场景建模坚实的理论基础和深厚的学术造诣；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2.具有博士学历、海外留学经历、行业从业经验，或具有副教授或行业副高职称以上，能胜任本学科核心课程讲授任务者优先。</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3061"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艺术学院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视觉传达设计（信息设计方向）</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2人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从事视觉传达设计专业理论和实践教学，并指导学生参加专业竞赛</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1.能独立承担视觉传达设计信息设计相关课程，表达能力强，综合素质好；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2.具有博士学历、较强科研能力者，或具有副教授及以上职称，能独立承担视觉传达设计专业核心课程及科研项目研究；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3.具有行业丰富经验或行业副高职称以上者可适当放宽条件。</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2806"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外国语学院</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英语</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1人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textAlignment w:val="center"/>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负责教授基础英语、高级英语课程，开展相关科研工作</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1.专业知识扎实，发音清晰准确；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2.英语专业硕士或以上学历，通过英语专业八级考试；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3.具备副高及以上职称者或具有博士学历者或有留学经历及相关工作经验者或有商务英语教学经验者均优先择录。</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4516" w:hRule="atLeast"/>
        </w:trPr>
        <w:tc>
          <w:tcPr>
            <w:tcW w:w="990" w:type="dxa"/>
            <w:tcBorders>
              <w:top w:val="nil"/>
              <w:left w:val="single" w:color="auto" w:sz="6" w:space="0"/>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学生事务部（辅导员）</w:t>
            </w:r>
          </w:p>
        </w:tc>
        <w:tc>
          <w:tcPr>
            <w:tcW w:w="112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专业不限</w:t>
            </w:r>
          </w:p>
        </w:tc>
        <w:tc>
          <w:tcPr>
            <w:tcW w:w="37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2人</w:t>
            </w:r>
          </w:p>
        </w:tc>
        <w:tc>
          <w:tcPr>
            <w:tcW w:w="705"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i w:val="0"/>
                <w:caps w:val="0"/>
                <w:color w:val="333333"/>
                <w:spacing w:val="0"/>
                <w:sz w:val="21"/>
                <w:szCs w:val="21"/>
                <w:bdr w:val="none" w:color="auto" w:sz="0" w:space="0"/>
              </w:rPr>
              <w:t>硕士及以上</w:t>
            </w:r>
          </w:p>
        </w:tc>
        <w:tc>
          <w:tcPr>
            <w:tcW w:w="2130" w:type="dxa"/>
            <w:tcBorders>
              <w:top w:val="nil"/>
              <w:left w:val="nil"/>
              <w:bottom w:val="single" w:color="auto" w:sz="6" w:space="0"/>
              <w:right w:val="single" w:color="000000"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掌握学生思想、学习及生活状况，针对学生关心的问题，及时进行教育和引导，指导班级及寝室文化建设，做好学生骨干培养工作，协助党团组织做好学生党、团员的思想建设和组织发展工作，开展学业、就业指导、心理健康教育等服务工作，全面促进学生成长成才。</w:t>
            </w:r>
          </w:p>
        </w:tc>
        <w:tc>
          <w:tcPr>
            <w:tcW w:w="3105"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1.中共党员,具有坚定正确的政治方向，坚持党的基本路线和教育方针，具有一定的马克思主义理论基础和政策水平，有较强的政治分辨能力；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2.热爱学生思想政治工作，具有高度的责任感和奉献精神；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3.热爱学生，品行端正，以身作则，为人师表，有较强的组织活动、调查研究以及语言文字表达能力；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21"/>
                <w:szCs w:val="21"/>
                <w:bdr w:val="none" w:color="auto" w:sz="0" w:space="0"/>
              </w:rPr>
              <w:t>4.能够较稳定地在本学院工作。</w:t>
            </w: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48"/>
    <w:rsid w:val="000627EE"/>
    <w:rsid w:val="00140457"/>
    <w:rsid w:val="00164DEC"/>
    <w:rsid w:val="007E444B"/>
    <w:rsid w:val="00D50948"/>
    <w:rsid w:val="055A5E63"/>
    <w:rsid w:val="24460867"/>
    <w:rsid w:val="33624E4A"/>
    <w:rsid w:val="5AF27BEA"/>
    <w:rsid w:val="6115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uiPriority w:val="99"/>
    <w:rPr>
      <w:rFonts w:ascii="Times New Roman" w:hAnsi="Times New Roman" w:eastAsia="宋体" w:cs="Times New Roman"/>
      <w:sz w:val="18"/>
      <w:szCs w:val="18"/>
    </w:rPr>
  </w:style>
  <w:style w:type="character" w:customStyle="1" w:styleId="9">
    <w:name w:val="页脚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578</Words>
  <Characters>3299</Characters>
  <Lines>27</Lines>
  <Paragraphs>7</Paragraphs>
  <TotalTime>95</TotalTime>
  <ScaleCrop>false</ScaleCrop>
  <LinksUpToDate>false</LinksUpToDate>
  <CharactersWithSpaces>3870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2020-09-23T07:09:00Z</dcterms:created>
  <dc:creator>Administrator</dc:creator>
  <cp:lastModifiedBy>Administrator</cp:lastModifiedBy>
  <dcterms:modified xsi:type="dcterms:W3CDTF">2020-09-24T08:32:15Z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