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5"/>
          <w:szCs w:val="25"/>
          <w:bdr w:val="none" w:color="auto" w:sz="0" w:space="0"/>
        </w:rPr>
        <w:t>三门县委政法委下属单位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bdr w:val="none" w:color="auto" w:sz="0" w:space="0"/>
        </w:rPr>
        <w:t>招聘岗位 </w:t>
      </w:r>
    </w:p>
    <w:bookmarkEnd w:id="0"/>
    <w:tbl>
      <w:tblPr>
        <w:tblW w:w="7776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2667"/>
        <w:gridCol w:w="739"/>
        <w:gridCol w:w="1064"/>
        <w:gridCol w:w="192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125" w:right="125"/>
              <w:jc w:val="center"/>
              <w:rPr>
                <w:sz w:val="17"/>
                <w:szCs w:val="17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125"/>
              <w:jc w:val="center"/>
              <w:rPr>
                <w:sz w:val="17"/>
                <w:szCs w:val="17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125"/>
              <w:jc w:val="center"/>
              <w:rPr>
                <w:sz w:val="17"/>
                <w:szCs w:val="17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125"/>
              <w:jc w:val="center"/>
              <w:rPr>
                <w:sz w:val="17"/>
                <w:szCs w:val="17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125"/>
              <w:jc w:val="center"/>
              <w:rPr>
                <w:sz w:val="17"/>
                <w:szCs w:val="17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125" w:right="125"/>
              <w:jc w:val="center"/>
              <w:rPr>
                <w:sz w:val="17"/>
                <w:szCs w:val="17"/>
              </w:rPr>
            </w:pP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专业及学历要求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三门县委政法委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县社会矛盾纠纷调处化解中心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大专及以上学历，专业不限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县反邪教协调室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04C00"/>
    <w:rsid w:val="04B04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2020-09-30T03:24:00Z</dcterms:created>
  <dc:creator>ASUS</dc:creator>
  <cp:lastModifiedBy>ASUS</cp:lastModifiedBy>
  <dcterms:modified xsi:type="dcterms:W3CDTF">2020-09-30T03:24:36Z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