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880" w:type="dxa"/>
        <w:tblCellSpacing w:w="0" w:type="dxa"/>
        <w:tblInd w:w="91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75"/>
        <w:gridCol w:w="705"/>
        <w:gridCol w:w="2130"/>
        <w:gridCol w:w="1560"/>
        <w:gridCol w:w="3825"/>
        <w:gridCol w:w="2550"/>
        <w:gridCol w:w="1995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4880" w:type="dxa"/>
            <w:gridSpan w:val="8"/>
            <w:tcBorders>
              <w:top w:val="single" w:color="auto" w:sz="6" w:space="0"/>
              <w:left w:val="single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sinsum" w:hAnsi="sinsum" w:eastAsia="sinsum" w:cs="sinsum"/>
                <w:color w:val="000000"/>
              </w:rPr>
            </w:pP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21"/>
                <w:szCs w:val="21"/>
              </w:rPr>
              <w:t>青秀区财政局外聘人员岗位要求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21"/>
                <w:szCs w:val="21"/>
              </w:rPr>
              <w:t>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21"/>
                <w:szCs w:val="21"/>
              </w:rPr>
              <w:t>岗　位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21"/>
                <w:szCs w:val="21"/>
              </w:rPr>
              <w:t>招聘人数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21"/>
                <w:szCs w:val="21"/>
              </w:rPr>
              <w:t>学历要求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21"/>
                <w:szCs w:val="21"/>
              </w:rPr>
              <w:t>年龄要求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21"/>
                <w:szCs w:val="21"/>
              </w:rPr>
              <w:t>岗位要求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21"/>
                <w:szCs w:val="21"/>
              </w:rPr>
              <w:t>工资待遇（元）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tblCellSpacing w:w="0" w:type="dxa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本科（含非全日制本科）及以上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18－35周岁，特别优秀的可放宽到40周岁。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会计或审计类专业,熟悉财政、财务、会计、审计、税务等专业知识，</w:t>
            </w: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21"/>
                <w:szCs w:val="21"/>
              </w:rPr>
              <w:t>持有初级以上专业技术职称</w:t>
            </w: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；有相关工经验者优先。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初级职称：3660元/月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中级职称：3800元/月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高级职称：4080元/月</w:t>
            </w:r>
          </w:p>
        </w:tc>
        <w:tc>
          <w:tcPr>
            <w:tcW w:w="19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CCCCCC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所列工资待遇＝基本工资+绩效工资（含个人承担的社会保险金及住房公积金，不含用人单位应承担的社会保险金、住房公积金）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tblCellSpacing w:w="0" w:type="dxa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行政辅助岗位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本科（含非全日制本科）及以上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18－35周岁，特别优秀的可放宽到40周岁。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会计或审计类专业,熟悉财政、财务、会计、审计、税务等专业知识；有相关工经验者优先。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21"/>
                <w:szCs w:val="21"/>
              </w:rPr>
              <w:t>3100元/月</w:t>
            </w: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CCCCCC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21"/>
                <w:szCs w:val="21"/>
              </w:rPr>
              <w:t>4人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420" w:lineRule="atLeast"/>
        <w:ind w:left="76" w:right="76" w:firstLine="0"/>
        <w:jc w:val="left"/>
        <w:rPr>
          <w:rFonts w:hint="default" w:ascii="sinsum" w:hAnsi="sinsum" w:eastAsia="sinsum" w:cs="sinsum"/>
          <w:color w:val="000000"/>
        </w:rPr>
      </w:pPr>
      <w:r>
        <w:rPr>
          <w:rFonts w:hint="default" w:ascii="sinsum" w:hAnsi="sinsum" w:eastAsia="sinsum" w:cs="sinsum"/>
          <w:color w:val="000000"/>
          <w:sz w:val="21"/>
          <w:szCs w:val="21"/>
        </w:rPr>
        <w:t>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B2692"/>
    <w:rsid w:val="10FB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dot"/>
    <w:basedOn w:val="4"/>
    <w:uiPriority w:val="0"/>
  </w:style>
  <w:style w:type="character" w:customStyle="1" w:styleId="9">
    <w:name w:val="first-child"/>
    <w:basedOn w:val="4"/>
    <w:uiPriority w:val="0"/>
    <w:rPr>
      <w:bdr w:val="none" w:color="auto" w:sz="0" w:space="0"/>
    </w:rPr>
  </w:style>
  <w:style w:type="character" w:customStyle="1" w:styleId="10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11">
    <w:name w:val="time"/>
    <w:basedOn w:val="4"/>
    <w:uiPriority w:val="0"/>
    <w:rPr>
      <w:color w:val="999999"/>
    </w:rPr>
  </w:style>
  <w:style w:type="character" w:customStyle="1" w:styleId="12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2020-10-14T06:38:00Z</dcterms:created>
  <dc:creator>Administrator</dc:creator>
  <cp:lastModifiedBy>Administrator</cp:lastModifiedBy>
  <dcterms:modified xsi:type="dcterms:W3CDTF">2020-10-14T07:50:05Z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