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widowControl/>
        <w:shd w:val="clear" w:color="auto" w:fill="FFFFFF"/>
        <w:spacing w:line="405" w:lineRule="atLeast"/>
        <w:ind w:firstLine="755"/>
        <w:jc w:val="center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bookmarkStart w:id="0" w:name="_GoBack"/>
      <w:r>
        <w:rPr>
          <w:rFonts w:hint="eastAsia" w:ascii="黑体" w:hAnsi="黑体" w:eastAsia="黑体" w:cs="宋体"/>
          <w:b/>
          <w:bCs/>
          <w:spacing w:val="8"/>
          <w:kern w:val="0"/>
          <w:sz w:val="36"/>
          <w:szCs w:val="36"/>
        </w:rPr>
        <w:t>2020年度新天公司新员工招聘计划表</w:t>
      </w:r>
    </w:p>
    <w:bookmarkEnd w:id="0"/>
    <w:tbl>
      <w:tblPr>
        <w:tblStyle w:val="5"/>
        <w:tblW w:w="1399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726"/>
        <w:gridCol w:w="1018"/>
        <w:gridCol w:w="675"/>
        <w:gridCol w:w="4888"/>
        <w:gridCol w:w="4251"/>
        <w:gridCol w:w="1418"/>
        <w:gridCol w:w="5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7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 w:val="18"/>
                <w:szCs w:val="18"/>
              </w:rPr>
              <w:t>单位</w:t>
            </w:r>
          </w:p>
        </w:tc>
        <w:tc>
          <w:tcPr>
            <w:tcW w:w="10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用人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部门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岗位</w:t>
            </w:r>
          </w:p>
        </w:tc>
        <w:tc>
          <w:tcPr>
            <w:tcW w:w="48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岗位要求</w:t>
            </w:r>
          </w:p>
        </w:tc>
        <w:tc>
          <w:tcPr>
            <w:tcW w:w="4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工作职责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预计薪酬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Cs/>
                <w:spacing w:val="8"/>
                <w:kern w:val="0"/>
                <w:szCs w:val="21"/>
              </w:rPr>
              <w:t>（万元/年）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职数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4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Times New Roman"/>
                <w:spacing w:val="8"/>
                <w:kern w:val="0"/>
                <w:szCs w:val="21"/>
              </w:rPr>
              <w:t>1</w:t>
            </w:r>
          </w:p>
        </w:tc>
        <w:tc>
          <w:tcPr>
            <w:tcW w:w="726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宋体"/>
                <w:spacing w:val="8"/>
                <w:kern w:val="0"/>
                <w:szCs w:val="21"/>
              </w:rPr>
              <w:t>新天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宋体"/>
                <w:spacing w:val="8"/>
                <w:kern w:val="0"/>
                <w:szCs w:val="21"/>
              </w:rPr>
              <w:t>公司</w:t>
            </w:r>
          </w:p>
        </w:tc>
        <w:tc>
          <w:tcPr>
            <w:tcW w:w="101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宋体"/>
                <w:spacing w:val="8"/>
                <w:kern w:val="0"/>
                <w:szCs w:val="21"/>
              </w:rPr>
              <w:t>办公室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文字综合干事</w:t>
            </w:r>
          </w:p>
        </w:tc>
        <w:tc>
          <w:tcPr>
            <w:tcW w:w="48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（1）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全日制本科以上学历，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专业不限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（2）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熟悉运用OFFICE办公软件及各类公文写作，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文字处理能力强，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熟悉现代化企业行政运作和管理，精通企业行政管理知识；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（3）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有良好的企业活动策划与组织能力，组织各类会议和重大活动的丰富的经验；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（4）具有较高的政治素养和政策水平，遵纪守法、坚持原则、爱岗敬业、有良好的保密意识，具有良好的分析判断能力、沟通协调能力、执行能力、学习能力和创新能力。</w:t>
            </w:r>
          </w:p>
        </w:tc>
        <w:tc>
          <w:tcPr>
            <w:tcW w:w="4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1）负责接受与传达领导的指示和要求，并了解监督、检查、执行情况，做到上情下达；收集整理有关资料，及时全面地向领导反映情况，做到下情上达。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（2）负责文秘、文印、内外收发等业务。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（4）参与公司汇报等材料工作的草拟。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（5）负责来访人员的接待工作。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（6）完成领导交办的其他任务，协助其他岗位的工作。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面议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4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宋体"/>
                <w:spacing w:val="8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宋体"/>
                <w:spacing w:val="8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人力资源干事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（1）全日制本科以上学历，人力资源管理、行政管理、工商管理等相关专业；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（2）具有人力资源相关工作经验；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（3）具有较强的理解、创新、学习能力；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（4）服从安排，具有较强的沟通能力、执行力、组织能力；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（5）独立解决问题的能力。</w:t>
            </w:r>
          </w:p>
          <w:p>
            <w:pPr>
              <w:pStyle w:val="4"/>
              <w:widowControl/>
              <w:spacing w:before="0" w:beforeAutospacing="0" w:after="0" w:afterAutospacing="0" w:line="30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（1）协助修订公司人力资源制度、规划并组织实施；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（2）拟定公司年度工资、奖金、福利等人力资源费用预算和报酬分配方案，上报批准后按计划执行；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（3）负责实施员工录用、晋升、调配、下岗、辞退、退休、培训、考核、奖惩等工作；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（4）负责更新、维护员工档案，建立完善公司花名册；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（5）人事日常公文、通知、报告、通讯录更新等工作及公司交办的其他事项。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面议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7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 w:val="18"/>
                <w:szCs w:val="18"/>
              </w:rPr>
              <w:t>单位</w:t>
            </w:r>
          </w:p>
        </w:tc>
        <w:tc>
          <w:tcPr>
            <w:tcW w:w="10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用人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部门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岗位</w:t>
            </w:r>
          </w:p>
        </w:tc>
        <w:tc>
          <w:tcPr>
            <w:tcW w:w="48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岗位要求</w:t>
            </w:r>
          </w:p>
        </w:tc>
        <w:tc>
          <w:tcPr>
            <w:tcW w:w="4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工作职责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预计薪酬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Cs/>
                <w:spacing w:val="8"/>
                <w:kern w:val="0"/>
                <w:szCs w:val="21"/>
              </w:rPr>
              <w:t>（万元/年）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Cs w:val="21"/>
              </w:rPr>
              <w:t>职数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2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新天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公司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宋体"/>
                <w:spacing w:val="8"/>
                <w:kern w:val="0"/>
                <w:szCs w:val="21"/>
              </w:rPr>
              <w:t>财务部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ascii="Times New Roman" w:hAnsi="宋体"/>
                <w:spacing w:val="8"/>
                <w:kern w:val="0"/>
                <w:szCs w:val="21"/>
              </w:rPr>
              <w:t>会计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主管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（1）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全日制本科学历，财务类专业；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（2）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有相关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施工企业财务管理工作经验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，有中级会计师或税务师证书，可优先录取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；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（3）能独立负责施工企业的财务管理、工程项目的财务核算等方面的工作；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（4）熟悉财务处理程序，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能够熟练使用各种办公软件和各种财务软件。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了解国内企业会计准则及财务、税务等政策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；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（5）熟悉会计法规及国家税收相关法律法规和政策，抗压能力强。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（1）负责全盘账务处理，包括内控管理及税务账务，审核账务，按时完成各种报表和分析报告;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（2）参与公司月度季度年度预算，按照业务端进度及费用进度进行管控，及时沟通反馈其进度及超支费用等;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cr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（3）财务内控工作的监督及管理，及时根据多方信息输入有针对性的财务分析;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cr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（4）维护和协调与银行、税务等部门的良好关系，维护公司经营利益;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cr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（5）熟悉公司的主要业务;　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（6）完成上级安排的其他日常事务性工作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面议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4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3</w:t>
            </w:r>
          </w:p>
        </w:tc>
        <w:tc>
          <w:tcPr>
            <w:tcW w:w="726" w:type="dxa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新天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公司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企划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经营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管理部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干事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（1）全日制本科学历，市场营销、工民建、工程管理类等专业；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（2）熟悉工程行业，有相关工作经验5年以上；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（3）出众的市场开拓能力；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（4）乐观向上的职业态度，优秀的沟通、协调能力；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（5）工作认真负责、踏实勤奋，能够承担较大工作压力，擅长从事有挑战性的工作。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（1）分析市场需求，调整公司业务方向，项目拓展；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（2）现有业务的梳理，配合风控内审部调整策划内容；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（3）策划与组织各种具体的市场活动，合理协调好各部分工作的分工与合作；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（4）负责公司的宣传推广及包装；</w:t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（5）完成公司安排的其他工作。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面议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4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4</w:t>
            </w:r>
          </w:p>
        </w:tc>
        <w:tc>
          <w:tcPr>
            <w:tcW w:w="726" w:type="dxa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新天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公司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风控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内审部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主管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（1）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学历全日制本科及以上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法律 、财务、经济、金融等相关专业;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（2）有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银行（地、市级分行及以上），券商、资产管理公司等金融机构省级分支机构，地方金控平台等的金融市场、银行同业、法律合规、风险控制等岗位工作经验，或国内知名律师事务所、知名咨询机构、大型会计师事务所工作经验，具有法律职业资格等证书者优先，特别优秀者可适当放宽条件;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ind w:left="-99" w:leftChars="-47" w:right="-99" w:rightChars="-47"/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（3）</w:t>
            </w:r>
            <w:r>
              <w:rPr>
                <w:rFonts w:ascii="Times New Roman" w:hAnsi="宋体"/>
                <w:sz w:val="21"/>
                <w:szCs w:val="21"/>
                <w:shd w:val="clear" w:color="auto" w:fill="FFFFFF"/>
              </w:rPr>
              <w:t>具备较强的公文写作和沟通协调能力</w:t>
            </w:r>
            <w:r>
              <w:rPr>
                <w:rFonts w:hint="eastAsia" w:ascii="Times New Roman" w:hAnsi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1）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参与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公司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风险管理制度的制定和修订;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（2）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监管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公司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高风险经营类业务;组织开展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公司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关键风险点的控制措施确定和执行进行评价，并督导问题整改;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（3）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参与并指导公司的风险指标设计、风险预警方案制定;组织对公司重点风险领域关键风险控制指标进行监测和检查;开展风险识别与评估工作，编写风险评估报告和年度风险管理工作报告;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宋体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（4）</w:t>
            </w:r>
            <w:r>
              <w:rPr>
                <w:rFonts w:ascii="Times New Roman" w:hAnsi="宋体"/>
                <w:spacing w:val="8"/>
                <w:kern w:val="0"/>
                <w:szCs w:val="21"/>
              </w:rPr>
              <w:t>负责对公司内部控制、风险管理情况、经济责任及管理相关情况等实施专项审计</w:t>
            </w:r>
            <w:r>
              <w:rPr>
                <w:rFonts w:hint="eastAsia" w:ascii="Times New Roman" w:hAnsi="宋体"/>
                <w:spacing w:val="8"/>
                <w:kern w:val="0"/>
                <w:szCs w:val="21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  <w:shd w:val="clear" w:color="auto" w:fill="FFFFFF"/>
              </w:rPr>
              <w:t>面议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rFonts w:hint="eastAsia" w:ascii="Times New Roman" w:hAnsi="Times New Roman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8"/>
                <w:kern w:val="0"/>
                <w:szCs w:val="21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2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lb</dc:creator>
  <cp:lastModifiedBy>彬彬有李</cp:lastModifiedBy>
  <dcterms:modified xsi:type="dcterms:W3CDTF">2020-10-19T04:52:42Z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