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1</w:t>
      </w:r>
    </w:p>
    <w:p>
      <w:pPr>
        <w:spacing w:line="576" w:lineRule="exact"/>
        <w:ind w:firstLine="4845" w:firstLineChars="1100"/>
        <w:jc w:val="both"/>
        <w:rPr>
          <w:rFonts w:ascii="方正小标宋简体" w:eastAsia="方正小标宋简体"/>
          <w:b/>
          <w:sz w:val="44"/>
          <w:szCs w:val="44"/>
        </w:rPr>
      </w:pPr>
      <w:r>
        <w:rPr>
          <w:rFonts w:hint="eastAsia" w:ascii="方正小标宋简体" w:eastAsia="方正小标宋简体"/>
          <w:b/>
          <w:sz w:val="44"/>
          <w:szCs w:val="44"/>
        </w:rPr>
        <w:t>招聘单位基本情况</w:t>
      </w:r>
    </w:p>
    <w:p>
      <w:pPr>
        <w:spacing w:line="300" w:lineRule="exact"/>
        <w:rPr>
          <w:rFonts w:ascii="仿宋_GB2312" w:eastAsia="仿宋_GB2312"/>
          <w:szCs w:val="21"/>
        </w:rPr>
      </w:pPr>
    </w:p>
    <w:tbl>
      <w:tblPr>
        <w:tblStyle w:val="3"/>
        <w:tblW w:w="0" w:type="auto"/>
        <w:jc w:val="center"/>
        <w:tblLayout w:type="fixed"/>
        <w:tblCellMar>
          <w:top w:w="0" w:type="dxa"/>
          <w:left w:w="108" w:type="dxa"/>
          <w:bottom w:w="0" w:type="dxa"/>
          <w:right w:w="108" w:type="dxa"/>
        </w:tblCellMar>
      </w:tblPr>
      <w:tblGrid>
        <w:gridCol w:w="2711"/>
        <w:gridCol w:w="984"/>
        <w:gridCol w:w="3353"/>
        <w:gridCol w:w="7020"/>
      </w:tblGrid>
      <w:tr>
        <w:tblPrEx>
          <w:tblCellMar>
            <w:top w:w="0" w:type="dxa"/>
            <w:left w:w="108" w:type="dxa"/>
            <w:bottom w:w="0" w:type="dxa"/>
            <w:right w:w="108" w:type="dxa"/>
          </w:tblCellMar>
        </w:tblPrEx>
        <w:trPr>
          <w:trHeight w:val="90"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Cs w:val="21"/>
              </w:rPr>
            </w:pPr>
            <w:r>
              <w:rPr>
                <w:rFonts w:hint="eastAsia" w:ascii="黑体" w:eastAsia="黑体"/>
                <w:szCs w:val="21"/>
              </w:rPr>
              <w:t>招聘单位</w:t>
            </w:r>
          </w:p>
        </w:tc>
        <w:tc>
          <w:tcPr>
            <w:tcW w:w="98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ascii="黑体" w:eastAsia="黑体"/>
                <w:szCs w:val="21"/>
              </w:rPr>
            </w:pPr>
            <w:r>
              <w:rPr>
                <w:rFonts w:hint="eastAsia" w:ascii="黑体" w:eastAsia="黑体"/>
                <w:szCs w:val="21"/>
              </w:rPr>
              <w:t>形式</w:t>
            </w:r>
          </w:p>
        </w:tc>
        <w:tc>
          <w:tcPr>
            <w:tcW w:w="335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黑体" w:eastAsia="黑体"/>
                <w:szCs w:val="21"/>
              </w:rPr>
            </w:pPr>
            <w:r>
              <w:rPr>
                <w:rFonts w:hint="eastAsia" w:ascii="黑体" w:eastAsia="黑体"/>
                <w:szCs w:val="21"/>
              </w:rPr>
              <w:t>单位地址</w:t>
            </w:r>
          </w:p>
        </w:tc>
        <w:tc>
          <w:tcPr>
            <w:tcW w:w="702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黑体" w:eastAsia="黑体"/>
                <w:szCs w:val="21"/>
              </w:rPr>
            </w:pPr>
            <w:r>
              <w:rPr>
                <w:rFonts w:hint="eastAsia" w:ascii="黑体" w:eastAsia="黑体"/>
                <w:szCs w:val="21"/>
              </w:rPr>
              <w:t>主要职能简介</w:t>
            </w:r>
          </w:p>
        </w:tc>
      </w:tr>
      <w:tr>
        <w:tblPrEx>
          <w:tblCellMar>
            <w:top w:w="0" w:type="dxa"/>
            <w:left w:w="108" w:type="dxa"/>
            <w:bottom w:w="0" w:type="dxa"/>
            <w:right w:w="108" w:type="dxa"/>
          </w:tblCellMar>
        </w:tblPrEx>
        <w:trPr>
          <w:trHeight w:val="90" w:hRule="atLeast"/>
          <w:jc w:val="center"/>
        </w:trPr>
        <w:tc>
          <w:tcPr>
            <w:tcW w:w="271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旺苍县融媒体中心</w:t>
            </w:r>
          </w:p>
        </w:tc>
        <w:tc>
          <w:tcPr>
            <w:tcW w:w="9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旺苍县东河镇兴旺东路165号</w:t>
            </w:r>
          </w:p>
        </w:tc>
        <w:tc>
          <w:tcPr>
            <w:tcW w:w="702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宣传党和国家的路线、方针、政策和法律法规、规章，发挥舆论导向作用；负责按照“媒体+”的理念，打造旺苍新媒体宣传矩阵，从单纯的新闻宣传向公共服务领域拓展，提供多样化综合服务，满足用户多样化需求；负责全县广播传输覆盖和融媒体各平台节目安全播出和舆情监管工作。</w:t>
            </w:r>
          </w:p>
        </w:tc>
      </w:tr>
      <w:tr>
        <w:tblPrEx>
          <w:tblCellMar>
            <w:top w:w="0" w:type="dxa"/>
            <w:left w:w="108" w:type="dxa"/>
            <w:bottom w:w="0" w:type="dxa"/>
            <w:right w:w="108" w:type="dxa"/>
          </w:tblCellMar>
        </w:tblPrEx>
        <w:trPr>
          <w:trHeight w:val="109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旺苍县应急信息中心</w:t>
            </w:r>
          </w:p>
        </w:tc>
        <w:tc>
          <w:tcPr>
            <w:tcW w:w="9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旺苍县东河镇滨河中路217号</w:t>
            </w:r>
          </w:p>
        </w:tc>
        <w:tc>
          <w:tcPr>
            <w:tcW w:w="702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承担全县安全生产应急救援体系建设、预案编制、演练组织等工作；承担全县安全生产领域举报与投诉受理工作；承担全县安全生产统计工作综合管理、指导、协调和监督县级有关部门安全生产统计工作；负责安全生产事故统计、行政执法统计、隐患排查治理统计、职业健康统计和生产安全事故统计认定等工作，定期分析和预测全县安全生产形势，发布安全指标预警信息；负责全县安全生产信息化建设等工作。</w:t>
            </w:r>
          </w:p>
        </w:tc>
      </w:tr>
      <w:tr>
        <w:tblPrEx>
          <w:tblCellMar>
            <w:top w:w="0" w:type="dxa"/>
            <w:left w:w="108" w:type="dxa"/>
            <w:bottom w:w="0" w:type="dxa"/>
            <w:right w:w="108" w:type="dxa"/>
          </w:tblCellMar>
        </w:tblPrEx>
        <w:trPr>
          <w:trHeight w:val="160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旺苍县民营经济发展中心</w:t>
            </w:r>
          </w:p>
        </w:tc>
        <w:tc>
          <w:tcPr>
            <w:tcW w:w="9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旺苍县东河镇商业南街144号</w:t>
            </w:r>
          </w:p>
        </w:tc>
        <w:tc>
          <w:tcPr>
            <w:tcW w:w="702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负责为民营企业提供政策、管理、技术咨询、融资信贷和信息交流、项目引进等服务，指导全县企业信息化建设。</w:t>
            </w:r>
          </w:p>
        </w:tc>
      </w:tr>
      <w:tr>
        <w:tblPrEx>
          <w:tblCellMar>
            <w:top w:w="0" w:type="dxa"/>
            <w:left w:w="108" w:type="dxa"/>
            <w:bottom w:w="0" w:type="dxa"/>
            <w:right w:w="108" w:type="dxa"/>
          </w:tblCellMar>
        </w:tblPrEx>
        <w:trPr>
          <w:trHeight w:val="157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旺苍县米仓山自然保护区事务中心</w:t>
            </w:r>
          </w:p>
        </w:tc>
        <w:tc>
          <w:tcPr>
            <w:tcW w:w="98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旺苍县东河镇凤凰路6号</w:t>
            </w:r>
          </w:p>
        </w:tc>
        <w:tc>
          <w:tcPr>
            <w:tcW w:w="7020"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负责米仓山自然保护区内生物多样性和自然遗迹保护工作；负责米仓山自然保护区内自然资源和森林生态系统的管理和开发工作；负责鼓城山-七里峡景区的建设、经营、管理和服务工作。</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860"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招聘单位</w:t>
            </w:r>
          </w:p>
        </w:tc>
        <w:tc>
          <w:tcPr>
            <w:tcW w:w="98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hint="eastAsia" w:ascii="黑体" w:eastAsia="黑体"/>
                <w:kern w:val="2"/>
                <w:sz w:val="21"/>
                <w:szCs w:val="21"/>
                <w:lang w:val="en-US" w:eastAsia="zh-CN" w:bidi="ar-SA"/>
              </w:rPr>
            </w:pPr>
            <w:r>
              <w:rPr>
                <w:rFonts w:hint="eastAsia" w:ascii="黑体" w:eastAsia="黑体"/>
                <w:szCs w:val="21"/>
              </w:rPr>
              <w:t>形式</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单位地址</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主要职能简介</w:t>
            </w:r>
          </w:p>
        </w:tc>
      </w:tr>
      <w:tr>
        <w:tblPrEx>
          <w:tblCellMar>
            <w:top w:w="0" w:type="dxa"/>
            <w:left w:w="108" w:type="dxa"/>
            <w:bottom w:w="0" w:type="dxa"/>
            <w:right w:w="108" w:type="dxa"/>
          </w:tblCellMar>
        </w:tblPrEx>
        <w:trPr>
          <w:trHeight w:val="1050"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旺苍县茶叶产业发展服务中心</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旺苍县东河镇兴旺东路165号</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负责拟定全县茶叶产业发展规划及茶叶产业发展各项政策并组织实施；承办茶叶基地建设等茶叶重大项目的立项、认证及申报工作，指导茶叶品牌创建、包装设计、茶文化挖掘整理和宣传等工作。</w:t>
            </w:r>
          </w:p>
        </w:tc>
      </w:tr>
      <w:tr>
        <w:tblPrEx>
          <w:tblCellMar>
            <w:top w:w="0" w:type="dxa"/>
            <w:left w:w="108" w:type="dxa"/>
            <w:bottom w:w="0" w:type="dxa"/>
            <w:right w:w="108" w:type="dxa"/>
          </w:tblCellMar>
        </w:tblPrEx>
        <w:trPr>
          <w:trHeight w:val="1220"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华文仿宋" w:hAnsi="华文仿宋" w:eastAsia="华文仿宋" w:cs="华文仿宋"/>
                <w:i w:val="0"/>
                <w:color w:val="000000"/>
                <w:kern w:val="2"/>
                <w:sz w:val="21"/>
                <w:szCs w:val="21"/>
                <w:u w:val="none"/>
                <w:lang w:val="en-US" w:eastAsia="zh-CN" w:bidi="ar-SA"/>
              </w:rPr>
            </w:pPr>
            <w:r>
              <w:rPr>
                <w:rFonts w:hint="eastAsia" w:ascii="宋体" w:hAnsi="宋体" w:cs="宋体"/>
                <w:i w:val="0"/>
                <w:color w:val="000000"/>
                <w:kern w:val="0"/>
                <w:sz w:val="20"/>
                <w:szCs w:val="20"/>
                <w:u w:val="none"/>
                <w:lang w:val="en-US" w:eastAsia="zh-CN" w:bidi="ar"/>
              </w:rPr>
              <w:t>旺苍县</w:t>
            </w:r>
            <w:r>
              <w:rPr>
                <w:rFonts w:hint="eastAsia" w:ascii="宋体" w:hAnsi="宋体" w:eastAsia="宋体" w:cs="宋体"/>
                <w:i w:val="0"/>
                <w:color w:val="000000"/>
                <w:kern w:val="0"/>
                <w:sz w:val="20"/>
                <w:szCs w:val="20"/>
                <w:u w:val="none"/>
                <w:lang w:val="en-US" w:eastAsia="zh-CN" w:bidi="ar"/>
              </w:rPr>
              <w:t>国土空间规划事务中心</w:t>
            </w:r>
          </w:p>
        </w:tc>
        <w:tc>
          <w:tcPr>
            <w:tcW w:w="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旺苍县东河镇西凤巷104号综合办公楼6楼</w:t>
            </w:r>
          </w:p>
        </w:tc>
        <w:tc>
          <w:tcPr>
            <w:tcW w:w="7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负责建立全县空间规划体系并监督实施。推进主体功能战略和制度，组织编制并监督实施国土空间规划、城乡规划和相关专项规划，推动</w:t>
            </w:r>
            <w:r>
              <w:rPr>
                <w:rStyle w:val="6"/>
                <w:rFonts w:eastAsia="宋体"/>
                <w:lang w:val="en-US" w:eastAsia="zh-CN" w:bidi="ar"/>
              </w:rPr>
              <w:t>“</w:t>
            </w:r>
            <w:r>
              <w:rPr>
                <w:rStyle w:val="7"/>
                <w:lang w:val="en-US" w:eastAsia="zh-CN" w:bidi="ar"/>
              </w:rPr>
              <w:t>多规合一</w:t>
            </w:r>
            <w:r>
              <w:rPr>
                <w:rStyle w:val="6"/>
                <w:rFonts w:eastAsia="宋体"/>
                <w:lang w:val="en-US" w:eastAsia="zh-CN" w:bidi="ar"/>
              </w:rPr>
              <w:t>”</w:t>
            </w:r>
            <w:r>
              <w:rPr>
                <w:rStyle w:val="7"/>
                <w:lang w:val="en-US" w:eastAsia="zh-CN" w:bidi="ar"/>
              </w:rPr>
              <w:t>。承担报省政府和市政府审批的国土空间规划及城乡建设规划的审核、报批工作。</w:t>
            </w:r>
          </w:p>
        </w:tc>
      </w:tr>
      <w:tr>
        <w:tblPrEx>
          <w:tblCellMar>
            <w:top w:w="0" w:type="dxa"/>
            <w:left w:w="108" w:type="dxa"/>
            <w:bottom w:w="0" w:type="dxa"/>
            <w:right w:w="108" w:type="dxa"/>
          </w:tblCellMar>
        </w:tblPrEx>
        <w:trPr>
          <w:trHeight w:val="144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四川省旺苍中学</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旺苍县东河镇建设路215号</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负责从事普通高中、初中教育等工作。</w:t>
            </w:r>
          </w:p>
        </w:tc>
      </w:tr>
      <w:tr>
        <w:tblPrEx>
          <w:tblCellMar>
            <w:top w:w="0" w:type="dxa"/>
            <w:left w:w="108" w:type="dxa"/>
            <w:bottom w:w="0" w:type="dxa"/>
            <w:right w:w="108" w:type="dxa"/>
          </w:tblCellMar>
        </w:tblPrEx>
        <w:trPr>
          <w:trHeight w:val="145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旺苍县职业中学</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旺苍县东河镇环城东路一段16号</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负责从事职业高中教育和社会培训等工作。</w:t>
            </w:r>
          </w:p>
        </w:tc>
      </w:tr>
      <w:tr>
        <w:tblPrEx>
          <w:tblCellMar>
            <w:top w:w="0" w:type="dxa"/>
            <w:left w:w="108" w:type="dxa"/>
            <w:bottom w:w="0" w:type="dxa"/>
            <w:right w:w="108" w:type="dxa"/>
          </w:tblCellMar>
        </w:tblPrEx>
        <w:trPr>
          <w:trHeight w:val="1000"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旺苍县教师培训中心</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旺苍县东河镇滨河北路174号</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开展教师队伍建设研究，制定教师队伍专业发展中长期规划，全县中小学的教学研究、教学视导，实施教育科研、课程改革，全县中小学、幼儿园教师和小学校长、幼儿园长的继续教育，教师线上线下县级培训教材开发，联合高校举办学历培训，加强高函、电大管理。</w:t>
            </w:r>
          </w:p>
        </w:tc>
      </w:tr>
      <w:tr>
        <w:tblPrEx>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招聘单位</w:t>
            </w:r>
          </w:p>
        </w:tc>
        <w:tc>
          <w:tcPr>
            <w:tcW w:w="98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黑体" w:eastAsia="黑体"/>
                <w:szCs w:val="21"/>
              </w:rPr>
            </w:pPr>
            <w:r>
              <w:rPr>
                <w:rFonts w:hint="eastAsia" w:ascii="黑体" w:eastAsia="黑体"/>
                <w:szCs w:val="21"/>
              </w:rPr>
              <w:t>经费</w:t>
            </w:r>
          </w:p>
          <w:p>
            <w:pPr>
              <w:spacing w:line="300" w:lineRule="exact"/>
              <w:jc w:val="center"/>
              <w:rPr>
                <w:rFonts w:hint="eastAsia" w:ascii="黑体" w:eastAsia="黑体"/>
                <w:kern w:val="2"/>
                <w:sz w:val="21"/>
                <w:szCs w:val="21"/>
                <w:lang w:val="en-US" w:eastAsia="zh-CN" w:bidi="ar-SA"/>
              </w:rPr>
            </w:pPr>
            <w:r>
              <w:rPr>
                <w:rFonts w:hint="eastAsia" w:ascii="黑体" w:eastAsia="黑体"/>
                <w:szCs w:val="21"/>
              </w:rPr>
              <w:t>形式</w:t>
            </w:r>
          </w:p>
        </w:tc>
        <w:tc>
          <w:tcPr>
            <w:tcW w:w="335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单位地址</w:t>
            </w:r>
          </w:p>
        </w:tc>
        <w:tc>
          <w:tcPr>
            <w:tcW w:w="702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黑体" w:eastAsia="黑体"/>
                <w:kern w:val="2"/>
                <w:sz w:val="21"/>
                <w:szCs w:val="21"/>
                <w:lang w:val="en-US" w:eastAsia="zh-CN" w:bidi="ar-SA"/>
              </w:rPr>
            </w:pPr>
            <w:r>
              <w:rPr>
                <w:rFonts w:hint="eastAsia" w:ascii="黑体" w:eastAsia="黑体"/>
                <w:szCs w:val="21"/>
              </w:rPr>
              <w:t>主要职能简介</w:t>
            </w:r>
          </w:p>
        </w:tc>
      </w:tr>
      <w:tr>
        <w:tblPrEx>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旺苍县疾控中心</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200" w:firstLineChars="1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ind w:firstLine="200" w:firstLineChars="1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旺苍县东河镇兴旺西路102号</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负责承担公共卫生服务工作，承胆了全县疾病预防控制指导工作。</w:t>
            </w:r>
          </w:p>
        </w:tc>
      </w:tr>
      <w:tr>
        <w:tblPrEx>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旺苍县财政局投资评审中心</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旺苍县兴旺大道西段</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负责承担投资项目概（预）算、决算的审查工作及财政专项资金项目的预算评审、核查工作，基本建设项目财政监管等工作。</w:t>
            </w:r>
          </w:p>
        </w:tc>
      </w:tr>
      <w:tr>
        <w:tblPrEx>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旺苍县审计信息中心</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旺苍县东河镇凤凰梁西凤巷109号</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负责执行上级审计机关和县委县政府制定的信息化方针、政策和技术标准、规范，研究制定局机关的信息化建设规划、计划、方案；组织协调、指导管理、监督检查局机关的信息化建设工作；组织现场审计实施系统（AO软件）及审计办公自动化系统（OA软件）及其他审计软件和管理软件的推广和使用；为局机关和内部审计机构提供计算机信息技术咨询、服务。</w:t>
            </w:r>
          </w:p>
        </w:tc>
      </w:tr>
      <w:tr>
        <w:tblPrEx>
          <w:tblCellMar>
            <w:top w:w="0" w:type="dxa"/>
            <w:left w:w="108" w:type="dxa"/>
            <w:bottom w:w="0" w:type="dxa"/>
            <w:right w:w="108" w:type="dxa"/>
          </w:tblCellMar>
        </w:tblPrEx>
        <w:trPr>
          <w:trHeight w:val="1615" w:hRule="atLeast"/>
          <w:jc w:val="center"/>
        </w:trPr>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红军精神培训学院</w:t>
            </w:r>
          </w:p>
        </w:tc>
        <w:tc>
          <w:tcPr>
            <w:tcW w:w="98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全额</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拨款</w:t>
            </w:r>
          </w:p>
        </w:tc>
        <w:tc>
          <w:tcPr>
            <w:tcW w:w="335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四川省旺苍县东河镇红星南路177号</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负责宣讲马克思主义中国化最新理论成果和党的路线、方针、政策，深入挖掘、研究、传承“中国红军精神”，开展党员干部理想信念教育、党性党风党纪教育和“三观”教育等培训任务。</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70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01"/>
    <w:basedOn w:val="4"/>
    <w:qFormat/>
    <w:uiPriority w:val="0"/>
    <w:rPr>
      <w:rFonts w:hint="default" w:ascii="Times New Roman" w:hAnsi="Times New Roman" w:cs="Times New Roman"/>
      <w:color w:val="000000"/>
      <w:sz w:val="20"/>
      <w:szCs w:val="20"/>
      <w:u w:val="none"/>
    </w:rPr>
  </w:style>
  <w:style w:type="character" w:customStyle="1" w:styleId="7">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wcxzfbxxklh</dc:creator>
  <cp:lastModifiedBy>鲜林杞</cp:lastModifiedBy>
  <dcterms:modified xsi:type="dcterms:W3CDTF">2020-11-03T09:34:16Z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