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9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0"/>
          <w:szCs w:val="20"/>
          <w:bdr w:val="none" w:color="auto" w:sz="0" w:space="0"/>
          <w:shd w:val="clear" w:fill="FFFFFF"/>
        </w:rPr>
        <w:t>其他干部员工岗位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9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0"/>
          <w:szCs w:val="20"/>
          <w:bdr w:val="none" w:color="auto" w:sz="0" w:space="0"/>
          <w:shd w:val="clear" w:fill="FFFFFF"/>
        </w:rPr>
        <w:t>　　公司在内部及面向社会公开招聘所有干部员工岗位，所有新招聘的员工不具备国有企业职工身份，均实行聘用制，聘期与总经理任期相同为三年一签，而后根据实际履职情况决定是否续签。</w:t>
      </w:r>
    </w:p>
    <w:tbl>
      <w:tblPr>
        <w:tblW w:w="7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868"/>
        <w:gridCol w:w="907"/>
        <w:gridCol w:w="1132"/>
        <w:gridCol w:w="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机构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岗位（职务）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岗位级别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管理层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（4人）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行政副总经理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副总经理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财务副总经理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副总经理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项目副总经理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副总经理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产业副总经理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副总经理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机构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岗位（职务）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岗位级别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行政部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（6人）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主任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部门正职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副主任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部门副职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秘书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一级业务员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党务专员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一级业务员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办公室文员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二级业务员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财务部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（6人）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经理（兼外派财务总监）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部门正职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副经理（兼主办会计）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部门副职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副经理（兼融资管理）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部门副职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会计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一级业务员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出纳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二级业务员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项目工程部（12人）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经理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部门正职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副经理（工程施工管理）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部门副职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副经理（项目投资管理）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部门副职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副主任（EPC咨询服务平台）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部门副职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项目主管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一级业务员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项目业务员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二级业务员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产业部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（7人）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经理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部门正职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副经理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部门副职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副经理（兼电商管理）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部门副职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产业业务员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二级业务员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电商业务员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二级业务员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昆明分公司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（2人）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经理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部门正职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业务员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二级业务员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――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――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9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0"/>
          <w:szCs w:val="20"/>
          <w:bdr w:val="none" w:color="auto" w:sz="0" w:space="0"/>
          <w:shd w:val="clear" w:fill="FFFFFF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A5D7C"/>
    <w:rsid w:val="443A5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2020-11-05T05:19:00Z</dcterms:created>
  <dc:creator>ASUS</dc:creator>
  <cp:lastModifiedBy>ASUS</cp:lastModifiedBy>
  <dcterms:modified xsi:type="dcterms:W3CDTF">2020-11-05T05:19:28Z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