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9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0"/>
          <w:szCs w:val="20"/>
          <w:bdr w:val="none" w:color="auto" w:sz="0" w:space="0"/>
          <w:shd w:val="clear" w:fill="FFFFFF"/>
        </w:rPr>
        <w:t>薪资待遇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9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0"/>
          <w:szCs w:val="20"/>
          <w:bdr w:val="none" w:color="auto" w:sz="0" w:space="0"/>
          <w:shd w:val="clear" w:fill="FFFFFF"/>
        </w:rPr>
        <w:t>　　实行基础月薪（基本工资）+责任目标工资（绩效工资）的薪酬制度，具体按照《永德县林产业开发有限责任公司组织机构和运营管理机制》执行。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810"/>
        <w:gridCol w:w="810"/>
        <w:gridCol w:w="810"/>
        <w:gridCol w:w="1010"/>
        <w:gridCol w:w="1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岗  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副总经理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部门经理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部门副职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一级业务员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二级业务员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基础月薪（万元）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1.0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0.9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年终责任目标工资（万元）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19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248C6"/>
    <w:rsid w:val="13524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2020-11-05T05:20:00Z</dcterms:created>
  <dc:creator>ASUS</dc:creator>
  <cp:lastModifiedBy>ASUS</cp:lastModifiedBy>
  <dcterms:modified xsi:type="dcterms:W3CDTF">2020-11-05T05:21:03Z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