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Arial" w:hAnsi="Arial" w:cs="Arial"/>
          <w:i w:val="0"/>
          <w:caps w:val="0"/>
          <w:color w:val="000000"/>
          <w:spacing w:val="0"/>
          <w:sz w:val="15"/>
          <w:szCs w:val="15"/>
        </w:rPr>
      </w:pPr>
      <w:bookmarkStart w:id="0" w:name="_GoBack"/>
      <w:r>
        <w:rPr>
          <w:rFonts w:ascii="方正小标宋简体" w:hAnsi="方正小标宋简体" w:eastAsia="方正小标宋简体" w:cs="方正小标宋简体"/>
          <w:i w:val="0"/>
          <w:caps w:val="0"/>
          <w:color w:val="FF0000"/>
          <w:spacing w:val="0"/>
          <w:sz w:val="30"/>
          <w:szCs w:val="30"/>
          <w:shd w:val="clear" w:fill="FFFFFF"/>
        </w:rPr>
        <w:t>雅安交建集团</w:t>
      </w:r>
      <w:r>
        <w:rPr>
          <w:rFonts w:ascii="黑体" w:hAnsi="宋体" w:eastAsia="黑体" w:cs="黑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报名岗位、名额、条件</w:t>
      </w:r>
    </w:p>
    <w:bookmarkEnd w:id="0"/>
    <w:tbl>
      <w:tblPr>
        <w:tblW w:w="11218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47"/>
        <w:gridCol w:w="1424"/>
        <w:gridCol w:w="1144"/>
        <w:gridCol w:w="6403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jc w:val="center"/>
        </w:trPr>
        <w:tc>
          <w:tcPr>
            <w:tcW w:w="2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74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4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名额</w:t>
            </w:r>
          </w:p>
        </w:tc>
        <w:tc>
          <w:tcPr>
            <w:tcW w:w="6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资格条件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2" w:hRule="atLeast"/>
          <w:jc w:val="center"/>
        </w:trPr>
        <w:tc>
          <w:tcPr>
            <w:tcW w:w="2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法务部</w:t>
            </w:r>
          </w:p>
        </w:tc>
        <w:tc>
          <w:tcPr>
            <w:tcW w:w="14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部长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1、硕士研究生及以上学历，法律方向；2、具有律师职业资格证书（国家司法部认证）； 3、10年及以上企业法律事务相关工作经验；4、熟练掌握《公司法》、《合同法》及企业经营管理相关法律法规，在企业股权、基础设施建设法律实务方面具有丰富的从业经历；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5、具有企业非诉讼事务法律服务能力；6、具有很强的综合协调与组织沟通能力。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2" w:hRule="atLeast"/>
          <w:jc w:val="center"/>
        </w:trPr>
        <w:tc>
          <w:tcPr>
            <w:tcW w:w="2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财务中心</w:t>
            </w:r>
          </w:p>
        </w:tc>
        <w:tc>
          <w:tcPr>
            <w:tcW w:w="14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高级财务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主管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、具有中级会计师及以上专业技术职称以及注册会计师资格；2、全日制大学本科及以上学历；3、具有大中型企业财务会计工作10年及以上；4、熟悉国家财经法律、法规、方针、政策和制度，有丰富的财会专业知识，熟悉工程建设方面的业务和财务基础理论；5、有较强的计划、控制、组织协调能力及文字表达能力，能妥善处理复杂的财务事项，熟练使用财务软件及办公软件；6、具有较强的学习、理解、执行力及团队合作意识，具备良好的财务人员职业操守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1E613C"/>
    <w:rsid w:val="761E61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2020-11-05T05:37:00Z</dcterms:created>
  <dc:creator>ASUS</dc:creator>
  <cp:lastModifiedBy>ASUS</cp:lastModifiedBy>
  <dcterms:modified xsi:type="dcterms:W3CDTF">2020-11-05T05:38:01Z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