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666666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</w:rPr>
        <w:t>河南双汇投资发展股份有限公司</w:t>
      </w:r>
      <w:r>
        <w:rPr>
          <w:rFonts w:ascii="宋体" w:hAnsi="宋体" w:eastAsia="宋体" w:cs="宋体"/>
          <w:i w:val="0"/>
          <w:caps w:val="0"/>
          <w:color w:val="666666"/>
          <w:spacing w:val="0"/>
          <w:sz w:val="17"/>
          <w:szCs w:val="17"/>
          <w:bdr w:val="none" w:color="auto" w:sz="0" w:space="0"/>
        </w:rPr>
        <w:t>招聘岗位、主要任职条件及岗位职责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666666"/>
          <w:spacing w:val="0"/>
          <w:sz w:val="17"/>
          <w:szCs w:val="17"/>
        </w:rPr>
      </w:pPr>
      <w:r>
        <w:drawing>
          <wp:inline distT="0" distB="0" distL="114300" distR="114300">
            <wp:extent cx="4897755" cy="3427095"/>
            <wp:effectExtent l="0" t="0" r="762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7755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6477B"/>
    <w:rsid w:val="140647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2020-11-05T05:43:00Z</dcterms:created>
  <dc:creator>ASUS</dc:creator>
  <cp:lastModifiedBy>ASUS</cp:lastModifiedBy>
  <dcterms:modified xsi:type="dcterms:W3CDTF">2020-11-05T05:43:30Z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