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附件2</w:t>
      </w:r>
    </w:p>
    <w:tbl>
      <w:tblPr>
        <w:tblStyle w:val="2"/>
        <w:tblW w:w="8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  <w:lang w:val="en-US" w:eastAsia="zh-CN"/>
              </w:rPr>
              <w:t>常山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</w:rPr>
              <w:t>县优秀人才招聘综合素质能力考评内</w:t>
            </w:r>
            <w:r>
              <w:rPr>
                <w:rFonts w:hint="default" w:ascii="Times New Roman" w:hAnsi="Times New Roman" w:cs="Times New Roman"/>
                <w:b/>
                <w:sz w:val="36"/>
                <w:szCs w:val="36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学业成绩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工作表现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在校期间每学期各课程成绩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在单位期间工作业绩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奖学金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“三好学生”或“优秀学生”等综合性荣誉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本学科专业性获奖或荣誉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单位工作期间获得奖励及荣誉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在单位工作期间从事岗位、担任职务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8484B"/>
    <w:rsid w:val="209C58D8"/>
    <w:rsid w:val="68F84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2020-11-06T06:18:00Z</dcterms:created>
  <dc:creator>john</dc:creator>
  <cp:lastModifiedBy>john</cp:lastModifiedBy>
  <dcterms:modified xsi:type="dcterms:W3CDTF">2020-11-06T06:24:41Z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