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79"/>
        <w:gridCol w:w="430"/>
        <w:gridCol w:w="1648"/>
        <w:gridCol w:w="1239"/>
        <w:gridCol w:w="1936"/>
        <w:gridCol w:w="998"/>
        <w:gridCol w:w="8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学历或职称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可胜任课程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"http://jwb.xujc.com/pyfa/list.htm" \t "C:/Users/Administrator/Desktop/网络编辑工具/lib/_blank" </w:instrText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9933E5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（可参考教务部网站专业培养方案中的课程）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从业或教学经验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8" w:space="0"/>
                <w:lang w:val="en-US" w:eastAsia="zh-CN" w:bidi="ar"/>
              </w:rPr>
              <w:t>经济学教师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IBT2001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TW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中级微观经济学、中级宏观经济学、国际经济学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8" w:space="0"/>
                <w:lang w:val="en-US" w:eastAsia="zh-CN" w:bidi="ar"/>
              </w:rPr>
              <w:t>统计学教师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IBT2002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统计学、计量经济学相关专业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统计学原理、计量经济学、经济预测与决策、投资经济学、行业大数据分析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8" w:space="0"/>
                <w:lang w:val="en-US" w:eastAsia="zh-CN" w:bidi="ar"/>
              </w:rPr>
              <w:t>市场营销教师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IBT2003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市场营销、管理学相关专业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新媒体营销、大数据分析与营销、互联网消费洞察、互联网软文营销、营销学原理、消费者行为学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8" w:space="0"/>
                <w:lang w:val="en-US" w:eastAsia="zh-CN" w:bidi="ar"/>
              </w:rPr>
              <w:t>国际商务教师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IBT2004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管理学、国际商务、国际金融或国际投资相关专业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国际商务、跨国公司运营管理、国际投资、跨境电子商务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年以上教学经验或从业经验者优先考虑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8" w:space="0"/>
                <w:lang w:val="en-US" w:eastAsia="zh-CN" w:bidi="ar"/>
              </w:rPr>
              <w:t>国际贸易教师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IBT2005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国际贸易实务、国际会展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年以上教学经验或从业经验者优先考虑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C557A03"/>
    <w:rsid w:val="0D591AFE"/>
    <w:rsid w:val="129A4B3C"/>
    <w:rsid w:val="155D6426"/>
    <w:rsid w:val="15A81DF6"/>
    <w:rsid w:val="171E0EF1"/>
    <w:rsid w:val="17307E98"/>
    <w:rsid w:val="22BD5984"/>
    <w:rsid w:val="292673B0"/>
    <w:rsid w:val="3D8A2DA8"/>
    <w:rsid w:val="4ADB486D"/>
    <w:rsid w:val="572A152D"/>
    <w:rsid w:val="5BBE40BF"/>
    <w:rsid w:val="68496B1A"/>
    <w:rsid w:val="6FB56F35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