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湖州市产业投资</w:t>
      </w:r>
      <w:r>
        <w:rPr>
          <w:rFonts w:ascii="黑体" w:hAnsi="黑体" w:eastAsia="黑体"/>
          <w:b/>
          <w:spacing w:val="-12"/>
          <w:sz w:val="36"/>
          <w:szCs w:val="36"/>
        </w:rPr>
        <w:t>发展集团</w:t>
      </w:r>
      <w:r>
        <w:rPr>
          <w:rFonts w:hint="eastAsia" w:ascii="黑体" w:hAnsi="黑体" w:eastAsia="黑体"/>
          <w:b/>
          <w:spacing w:val="-12"/>
          <w:sz w:val="36"/>
          <w:szCs w:val="36"/>
        </w:rPr>
        <w:t>有限公司招聘报名表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F7"/>
    <w:rsid w:val="00062542"/>
    <w:rsid w:val="002740F7"/>
    <w:rsid w:val="00C13997"/>
    <w:rsid w:val="00ED755E"/>
    <w:rsid w:val="345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Administrator</cp:lastModifiedBy>
  <cp:lastPrinted>2020-09-08T07:43:00Z</cp:lastPrinted>
  <dcterms:modified xsi:type="dcterms:W3CDTF">2020-11-16T02:48:43Z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