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ascii="Arial" w:hAnsi="Arial" w:cs="Arial"/>
          <w:i w:val="0"/>
          <w:caps w:val="0"/>
          <w:color w:val="666666"/>
          <w:spacing w:val="0"/>
          <w:sz w:val="17"/>
          <w:szCs w:val="17"/>
        </w:rPr>
      </w:pPr>
      <w:bookmarkStart w:id="0" w:name="_GoBack"/>
      <w:r>
        <w:rPr>
          <w:rFonts w:ascii="Arial" w:hAnsi="Arial" w:eastAsia="宋体" w:cs="Arial"/>
          <w:i w:val="0"/>
          <w:caps w:val="0"/>
          <w:color w:val="666666"/>
          <w:spacing w:val="0"/>
          <w:sz w:val="35"/>
          <w:szCs w:val="35"/>
          <w:shd w:val="clear" w:fill="FFFFFF"/>
        </w:rPr>
        <w:t>省级三甲医院</w:t>
      </w:r>
      <w:r>
        <w:rPr>
          <w:rFonts w:ascii="Tahoma" w:hAnsi="Tahoma" w:eastAsia="Tahoma" w:cs="Tahoma"/>
          <w:b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招聘岗位</w:t>
      </w:r>
      <w:r>
        <w:rPr>
          <w:rFonts w:hint="default" w:ascii="Tahoma" w:hAnsi="Tahoma" w:eastAsia="Tahoma" w:cs="Tahoma"/>
          <w:b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及要求</w:t>
      </w:r>
    </w:p>
    <w:bookmarkEnd w:id="0"/>
    <w:tbl>
      <w:tblPr>
        <w:tblW w:w="0" w:type="auto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826"/>
        <w:gridCol w:w="1465"/>
        <w:gridCol w:w="1265"/>
        <w:gridCol w:w="1365"/>
        <w:gridCol w:w="13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年龄要求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学历要求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精神卫生科技师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30周岁及以下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全日制本科及以上学历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临床医学类专业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神经内科技师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30周岁及以下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全日制本科及以上学历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临床医学类专业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药物部工作人员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30周岁及以下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全日制本科及以上学历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药学专业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具有执业药师资格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护士助理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30名</w:t>
            </w:r>
          </w:p>
        </w:tc>
        <w:tc>
          <w:tcPr>
            <w:tcW w:w="1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35周岁以下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大专及以上学历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医护专业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6ABD"/>
    <w:rsid w:val="642C6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2020-11-18T09:13:00Z</dcterms:created>
  <dc:creator>ASUS</dc:creator>
  <cp:lastModifiedBy>ASUS</cp:lastModifiedBy>
  <dcterms:modified xsi:type="dcterms:W3CDTF">2020-11-18T09:14:31Z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