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8"/>
        <w:gridCol w:w="1560"/>
        <w:gridCol w:w="4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用人部门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创新创业学院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学院干事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1人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35岁以下，全日制硕士研究生及以上学历，医药类相关专业，有创新创业工作经验优先。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中医诊所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中药房工作人员1人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25岁以下，中药学专业，全日制专科及以上学历，我校毕业生优先考虑。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中药房主管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1人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45岁以下，中医、中药或中西医结合专业，全日制中专学历及以上，具有购销员资格证，15年以上中药房工作经验，我校毕业生优先考虑。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A6B4C"/>
    <w:rsid w:val="2DFC4115"/>
    <w:rsid w:val="69DA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2020-11-27T08:15:00Z</dcterms:created>
  <dc:creator>ぺ灬cc果冻ル</dc:creator>
  <cp:lastModifiedBy>ぺ灬cc果冻ル</cp:lastModifiedBy>
  <dcterms:modified xsi:type="dcterms:W3CDTF">2020-11-27T08:25:03Z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