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Calibri" w:hAnsi="Calibri" w:cs="Calibri"/>
          <w:i w:val="0"/>
          <w:iCs w:val="0"/>
          <w:caps w:val="0"/>
          <w:color w:val="000000"/>
          <w:spacing w:val="0"/>
          <w:sz w:val="21"/>
          <w:szCs w:val="21"/>
        </w:rPr>
      </w:pPr>
      <w:r>
        <w:rPr>
          <w:rFonts w:hint="default" w:ascii="Calibri" w:hAnsi="Calibri" w:cs="Calibri" w:eastAsiaTheme="minorEastAsia"/>
          <w:i w:val="0"/>
          <w:iCs w:val="0"/>
          <w:caps w:val="0"/>
          <w:color w:val="000000"/>
          <w:spacing w:val="0"/>
          <w:kern w:val="0"/>
          <w:sz w:val="21"/>
          <w:szCs w:val="21"/>
          <w:bdr w:val="none" w:color="auto" w:sz="0" w:space="0"/>
          <w:shd w:val="clear" w:fill="FFFFFF"/>
          <w:lang w:val="en-US" w:eastAsia="zh-CN" w:bidi="ar"/>
        </w:rPr>
        <w:br w:type="textWrapping"/>
      </w:r>
      <w:r>
        <w:rPr>
          <w:rFonts w:hint="default" w:ascii="Calibri" w:hAnsi="Calibri" w:cs="Calibri" w:eastAsiaTheme="minorEastAsia"/>
          <w:i w:val="0"/>
          <w:iCs w:val="0"/>
          <w:caps w:val="0"/>
          <w:color w:val="000000"/>
          <w:spacing w:val="0"/>
          <w:kern w:val="0"/>
          <w:sz w:val="21"/>
          <w:szCs w:val="21"/>
          <w:bdr w:val="none" w:color="auto" w:sz="0" w:space="0"/>
          <w:shd w:val="clear" w:fill="FFFFFF"/>
          <w:lang w:val="en-US" w:eastAsia="zh-CN" w:bidi="ar"/>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35"/>
        <w:gridCol w:w="3768"/>
        <w:gridCol w:w="3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0" w:hRule="atLeast"/>
        </w:trPr>
        <w:tc>
          <w:tcPr>
            <w:tcW w:w="1435" w:type="dxa"/>
            <w:tcBorders>
              <w:top w:val="single" w:color="000000" w:sz="12"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ascii="方正小标宋简体" w:hAnsi="方正小标宋简体" w:eastAsia="方正小标宋简体" w:cs="方正小标宋简体"/>
                <w:b/>
                <w:bCs/>
                <w:i w:val="0"/>
                <w:iCs w:val="0"/>
                <w:caps w:val="0"/>
                <w:color w:val="31859B"/>
                <w:spacing w:val="0"/>
                <w:kern w:val="0"/>
                <w:sz w:val="28"/>
                <w:szCs w:val="28"/>
                <w:bdr w:val="none" w:color="auto" w:sz="0" w:space="0"/>
                <w:lang w:val="en-US" w:eastAsia="zh-CN" w:bidi="ar"/>
              </w:rPr>
              <w:t>岗位类别</w:t>
            </w:r>
          </w:p>
        </w:tc>
        <w:tc>
          <w:tcPr>
            <w:tcW w:w="3768" w:type="dxa"/>
            <w:tcBorders>
              <w:top w:val="single" w:color="000000" w:sz="12"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方正小标宋简体" w:hAnsi="方正小标宋简体" w:eastAsia="方正小标宋简体" w:cs="方正小标宋简体"/>
                <w:b/>
                <w:bCs/>
                <w:i w:val="0"/>
                <w:iCs w:val="0"/>
                <w:caps w:val="0"/>
                <w:color w:val="31859B"/>
                <w:spacing w:val="0"/>
                <w:kern w:val="0"/>
                <w:sz w:val="28"/>
                <w:szCs w:val="28"/>
                <w:bdr w:val="none" w:color="auto" w:sz="0" w:space="0"/>
                <w:lang w:val="en-US" w:eastAsia="zh-CN" w:bidi="ar"/>
              </w:rPr>
              <w:t>条件</w:t>
            </w:r>
          </w:p>
        </w:tc>
        <w:tc>
          <w:tcPr>
            <w:tcW w:w="3319" w:type="dxa"/>
            <w:tcBorders>
              <w:top w:val="single" w:color="000000" w:sz="12"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方正小标宋简体" w:hAnsi="方正小标宋简体" w:eastAsia="方正小标宋简体" w:cs="方正小标宋简体"/>
                <w:b/>
                <w:bCs/>
                <w:i w:val="0"/>
                <w:iCs w:val="0"/>
                <w:caps w:val="0"/>
                <w:color w:val="31859B"/>
                <w:spacing w:val="0"/>
                <w:kern w:val="0"/>
                <w:sz w:val="28"/>
                <w:szCs w:val="28"/>
                <w:bdr w:val="none" w:color="auto" w:sz="0" w:space="0"/>
                <w:lang w:val="en-US" w:eastAsia="zh-CN" w:bidi="ar"/>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35" w:type="dxa"/>
            <w:tcBorders>
              <w:top w:val="single" w:color="000000" w:sz="8"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ascii="华文仿宋" w:hAnsi="华文仿宋" w:eastAsia="华文仿宋" w:cs="华文仿宋"/>
                <w:b/>
                <w:bCs/>
                <w:i w:val="0"/>
                <w:iCs w:val="0"/>
                <w:caps w:val="0"/>
                <w:color w:val="31859B"/>
                <w:spacing w:val="0"/>
                <w:kern w:val="0"/>
                <w:sz w:val="28"/>
                <w:szCs w:val="28"/>
                <w:bdr w:val="none" w:color="auto" w:sz="0" w:space="0"/>
                <w:lang w:val="en-US" w:eastAsia="zh-CN" w:bidi="ar"/>
              </w:rPr>
              <w:t>杰出人才</w:t>
            </w:r>
          </w:p>
        </w:tc>
        <w:tc>
          <w:tcPr>
            <w:tcW w:w="37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两院院士或资深教授、海内外知名高校或研究机构的教授、资深研究员。是所在研究领域的一流学者，在国内外享有广泛的学术声望和影响力，能引领本学科有突破性的发展。</w:t>
            </w:r>
          </w:p>
        </w:tc>
        <w:tc>
          <w:tcPr>
            <w:tcW w:w="3319" w:type="dxa"/>
            <w:tcBorders>
              <w:top w:val="single" w:color="000000" w:sz="8"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年薪：≥100万；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科研启动费：理工科500-3000万元；文科100-500万元；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团队：配备骨干教师、博士后团队以及博士生招生名额；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住房：提供优质住房一套或优厚的安家费。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35" w:type="dxa"/>
            <w:tcBorders>
              <w:top w:val="single" w:color="000000" w:sz="8"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学术领军人才</w:t>
            </w:r>
          </w:p>
        </w:tc>
        <w:tc>
          <w:tcPr>
            <w:tcW w:w="37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达到或接近国家级人才计划相应学术水平的学术领军学者。具有深厚的学术造诣，在科学研究方面已取得国内外同行公认的重要成就，具有带领本学科在其前沿领域保持或赶超国内外领先水平以及带领团队协同攻关的能力。</w:t>
            </w:r>
          </w:p>
        </w:tc>
        <w:tc>
          <w:tcPr>
            <w:tcW w:w="3319" w:type="dxa"/>
            <w:tcBorders>
              <w:top w:val="single" w:color="000000" w:sz="8"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年薪：≥80万；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科研启动费：理工科200-1000万元；文科50-200万元；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团队：配备骨干教师、博士后团队以及博士生招生名额；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住房：提供优质住房一套或优厚的安家费。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35" w:type="dxa"/>
            <w:tcBorders>
              <w:top w:val="single" w:color="000000" w:sz="8"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青年拔尖人才</w:t>
            </w:r>
          </w:p>
        </w:tc>
        <w:tc>
          <w:tcPr>
            <w:tcW w:w="37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达到或接近国家级青年人才计划相应学术水平的青年拔尖学者。在本学科主流方向上从事前瞻性、创新性研究，具有较高学术地位，已取得具有重要学术影响的标志性研究成果，具有支撑学术梯队建设的能力。</w:t>
            </w:r>
          </w:p>
        </w:tc>
        <w:tc>
          <w:tcPr>
            <w:tcW w:w="3319" w:type="dxa"/>
            <w:tcBorders>
              <w:top w:val="single" w:color="000000" w:sz="8"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年薪：≥50万；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科研启动费：理工科100-300万元；文科30-100万元；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团队：配备骨干教师、博士后团队以及博士生招生名额；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住房：提供过渡性住房一套或优厚的安家费。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35" w:type="dxa"/>
            <w:tcBorders>
              <w:top w:val="single" w:color="000000" w:sz="8"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优秀青年骨干</w:t>
            </w:r>
          </w:p>
        </w:tc>
        <w:tc>
          <w:tcPr>
            <w:tcW w:w="37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海内外知名大学获得博士学位，有扎实的理论基础和专业知识，有稳定的研究方向和良好的发展潜质。主持或作为核心成员参与过重要科研项目，取得同行专家认可的科研成果。</w:t>
            </w:r>
          </w:p>
        </w:tc>
        <w:tc>
          <w:tcPr>
            <w:tcW w:w="3319" w:type="dxa"/>
            <w:tcBorders>
              <w:top w:val="single" w:color="000000" w:sz="8"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年薪：岗位绩效工资+10万/年津贴</w:t>
            </w:r>
            <w:r>
              <w:rPr>
                <w:rFonts w:hint="eastAsia" w:ascii="宋体" w:hAnsi="宋体" w:eastAsia="宋体" w:cs="宋体"/>
                <w:b w:val="0"/>
                <w:bCs w:val="0"/>
                <w:i w:val="0"/>
                <w:iCs w:val="0"/>
                <w:caps w:val="0"/>
                <w:color w:val="31859B"/>
                <w:spacing w:val="0"/>
                <w:kern w:val="0"/>
                <w:sz w:val="24"/>
                <w:szCs w:val="24"/>
                <w:bdr w:val="none" w:color="auto" w:sz="0" w:space="0"/>
                <w:lang w:val="en-US" w:eastAsia="zh-CN" w:bidi="ar"/>
              </w:rPr>
              <w:t>≧</w:t>
            </w: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30万；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科研启动费：10-40万元；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安家费：10-40万元，同时提供过渡性人才住房。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1435" w:type="dxa"/>
            <w:tcBorders>
              <w:top w:val="single" w:color="000000" w:sz="8" w:space="0"/>
              <w:left w:val="single" w:color="000000" w:sz="12"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骨干教师</w:t>
            </w:r>
          </w:p>
        </w:tc>
        <w:tc>
          <w:tcPr>
            <w:tcW w:w="376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海内外知名大学获得博士学位，有一定代表性成果。</w:t>
            </w:r>
          </w:p>
        </w:tc>
        <w:tc>
          <w:tcPr>
            <w:tcW w:w="3319" w:type="dxa"/>
            <w:tcBorders>
              <w:top w:val="single" w:color="000000" w:sz="8" w:space="0"/>
              <w:left w:val="single" w:color="000000" w:sz="8" w:space="0"/>
              <w:bottom w:val="single" w:color="000000" w:sz="8"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岗位绩效工资18-28万/年；按岗位及学科提供安家费及科研启动费；提供过渡性人才住房。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35" w:type="dxa"/>
            <w:tcBorders>
              <w:top w:val="single" w:color="000000" w:sz="8" w:space="0"/>
              <w:left w:val="single" w:color="000000" w:sz="12" w:space="0"/>
              <w:bottom w:val="single" w:color="000000" w:sz="12"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Calibri" w:hAnsi="Calibri" w:cs="Calibri"/>
                <w:sz w:val="21"/>
                <w:szCs w:val="21"/>
              </w:rPr>
            </w:pPr>
            <w:r>
              <w:rPr>
                <w:rStyle w:val="5"/>
                <w:rFonts w:hint="eastAsia" w:ascii="华文仿宋" w:hAnsi="华文仿宋" w:eastAsia="华文仿宋" w:cs="华文仿宋"/>
                <w:b/>
                <w:bCs/>
                <w:i w:val="0"/>
                <w:iCs w:val="0"/>
                <w:caps w:val="0"/>
                <w:color w:val="31859B"/>
                <w:spacing w:val="0"/>
                <w:kern w:val="0"/>
                <w:sz w:val="28"/>
                <w:szCs w:val="28"/>
                <w:bdr w:val="none" w:color="auto" w:sz="0" w:space="0"/>
                <w:lang w:val="en-US" w:eastAsia="zh-CN" w:bidi="ar"/>
              </w:rPr>
              <w:t>博士后</w:t>
            </w:r>
          </w:p>
        </w:tc>
        <w:tc>
          <w:tcPr>
            <w:tcW w:w="3768" w:type="dxa"/>
            <w:tcBorders>
              <w:top w:val="single" w:color="000000" w:sz="8" w:space="0"/>
              <w:left w:val="single" w:color="000000" w:sz="8" w:space="0"/>
              <w:bottom w:val="single" w:color="000000" w:sz="12"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获得博士学位，愿意全时全职来校从事博士后研究工作的人员（含外籍人员）。</w:t>
            </w:r>
          </w:p>
        </w:tc>
        <w:tc>
          <w:tcPr>
            <w:tcW w:w="3319" w:type="dxa"/>
            <w:tcBorders>
              <w:top w:val="single" w:color="000000" w:sz="8" w:space="0"/>
              <w:left w:val="single" w:color="000000" w:sz="8" w:space="0"/>
              <w:bottom w:val="single" w:color="000000" w:sz="12" w:space="0"/>
              <w:right w:val="single" w:color="000000" w:sz="12"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年薪：18 -45万元；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住房：提供博士后公寓或租房补贴；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rPr>
            </w:pPr>
            <w:r>
              <w:rPr>
                <w:rFonts w:hint="eastAsia" w:ascii="华文仿宋" w:hAnsi="华文仿宋" w:eastAsia="华文仿宋" w:cs="华文仿宋"/>
                <w:b w:val="0"/>
                <w:bCs w:val="0"/>
                <w:i w:val="0"/>
                <w:iCs w:val="0"/>
                <w:caps w:val="0"/>
                <w:color w:val="31859B"/>
                <w:spacing w:val="0"/>
                <w:kern w:val="0"/>
                <w:sz w:val="24"/>
                <w:szCs w:val="24"/>
                <w:bdr w:val="none" w:color="auto" w:sz="0" w:space="0"/>
                <w:lang w:val="en-US" w:eastAsia="zh-CN" w:bidi="ar"/>
              </w:rPr>
              <w:t>出站后可参加我校专业技术岗位竞聘，入选国家级博士后人才计划且取得优秀学术业绩者经评估后可优先转入事业编制聘用。</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Style w:val="5"/>
          <w:rFonts w:hint="eastAsia" w:ascii="方正小标宋简体" w:hAnsi="方正小标宋简体" w:eastAsia="方正小标宋简体" w:cs="方正小标宋简体"/>
          <w:b/>
          <w:bCs/>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Style w:val="5"/>
          <w:rFonts w:hint="eastAsia" w:ascii="方正小标宋简体" w:hAnsi="方正小标宋简体" w:eastAsia="方正小标宋简体" w:cs="方正小标宋简体"/>
          <w:b/>
          <w:bCs/>
          <w:i w:val="0"/>
          <w:iCs w:val="0"/>
          <w:caps w:val="0"/>
          <w:color w:val="205867"/>
          <w:spacing w:val="0"/>
          <w:kern w:val="0"/>
          <w:sz w:val="31"/>
          <w:szCs w:val="31"/>
          <w:bdr w:val="none" w:color="auto" w:sz="0" w:space="0"/>
          <w:shd w:val="clear" w:fill="FFFFFF"/>
          <w:lang w:val="en-US" w:eastAsia="zh-CN" w:bidi="ar"/>
        </w:rPr>
        <w:t>『其他待遇』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1820" w:right="0" w:hanging="1820"/>
        <w:rPr>
          <w:rFonts w:ascii="微软雅黑" w:hAnsi="微软雅黑" w:eastAsia="微软雅黑" w:cs="微软雅黑"/>
          <w:i w:val="0"/>
          <w:iCs w:val="0"/>
          <w:caps w:val="0"/>
          <w:color w:val="000000"/>
          <w:spacing w:val="0"/>
          <w:sz w:val="18"/>
          <w:szCs w:val="18"/>
        </w:rPr>
      </w:pPr>
      <w:r>
        <w:rPr>
          <w:rFonts w:ascii="方正仿宋_GB2312" w:hAnsi="方正仿宋_GB2312" w:eastAsia="方正仿宋_GB2312" w:cs="方正仿宋_GB2312"/>
          <w:i w:val="0"/>
          <w:iCs w:val="0"/>
          <w:caps w:val="0"/>
          <w:color w:val="31859B"/>
          <w:spacing w:val="0"/>
          <w:sz w:val="30"/>
          <w:szCs w:val="30"/>
          <w:bdr w:val="none" w:color="auto" w:sz="0" w:space="0"/>
          <w:shd w:val="clear" w:fill="FFFFFF"/>
        </w:rPr>
        <w:t>1.</w:t>
      </w:r>
      <w:r>
        <w:rPr>
          <w:rFonts w:hint="default" w:ascii="方正仿宋_GB2312" w:hAnsi="方正仿宋_GB2312" w:eastAsia="方正仿宋_GB2312" w:cs="方正仿宋_GB2312"/>
          <w:i w:val="0"/>
          <w:iCs w:val="0"/>
          <w:caps w:val="0"/>
          <w:color w:val="31859B"/>
          <w:spacing w:val="0"/>
          <w:sz w:val="30"/>
          <w:szCs w:val="30"/>
          <w:bdr w:val="none" w:color="auto" w:sz="0" w:space="0"/>
          <w:shd w:val="clear" w:fill="FFFFFF"/>
        </w:rPr>
        <w:t> </w:t>
      </w:r>
      <w:r>
        <w:rPr>
          <w:rFonts w:hint="eastAsia" w:ascii="华文仿宋" w:hAnsi="华文仿宋" w:eastAsia="华文仿宋" w:cs="华文仿宋"/>
          <w:i w:val="0"/>
          <w:iCs w:val="0"/>
          <w:caps w:val="0"/>
          <w:color w:val="31859B"/>
          <w:spacing w:val="0"/>
          <w:sz w:val="30"/>
          <w:szCs w:val="30"/>
          <w:bdr w:val="none" w:color="auto" w:sz="0" w:space="0"/>
          <w:shd w:val="clear" w:fill="FFFFFF"/>
        </w:rPr>
        <w:t>办公环境：配备办公用房、实验室等教学科研条件。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1820" w:right="0" w:hanging="1820"/>
        <w:rPr>
          <w:rFonts w:hint="eastAsia" w:ascii="微软雅黑" w:hAnsi="微软雅黑" w:eastAsia="微软雅黑" w:cs="微软雅黑"/>
          <w:i w:val="0"/>
          <w:iCs w:val="0"/>
          <w:caps w:val="0"/>
          <w:color w:val="000000"/>
          <w:spacing w:val="0"/>
          <w:sz w:val="18"/>
          <w:szCs w:val="18"/>
        </w:rPr>
      </w:pPr>
      <w:r>
        <w:rPr>
          <w:rFonts w:hint="eastAsia" w:ascii="华文仿宋" w:hAnsi="华文仿宋" w:eastAsia="华文仿宋" w:cs="华文仿宋"/>
          <w:i w:val="0"/>
          <w:iCs w:val="0"/>
          <w:caps w:val="0"/>
          <w:color w:val="31859B"/>
          <w:spacing w:val="0"/>
          <w:sz w:val="28"/>
          <w:szCs w:val="28"/>
          <w:bdr w:val="none" w:color="auto" w:sz="0" w:space="0"/>
          <w:shd w:val="clear" w:fill="FFFFFF"/>
        </w:rPr>
        <w:t>2. 教育资源：享受优质的基础教育资源。华中师范大学附属幼儿园、附属小学、附属中学皆为省级示范学校。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1820" w:right="0" w:hanging="1820"/>
        <w:rPr>
          <w:rFonts w:hint="eastAsia" w:ascii="微软雅黑" w:hAnsi="微软雅黑" w:eastAsia="微软雅黑" w:cs="微软雅黑"/>
          <w:i w:val="0"/>
          <w:iCs w:val="0"/>
          <w:caps w:val="0"/>
          <w:color w:val="000000"/>
          <w:spacing w:val="0"/>
          <w:sz w:val="18"/>
          <w:szCs w:val="18"/>
        </w:rPr>
      </w:pPr>
      <w:r>
        <w:rPr>
          <w:rFonts w:hint="eastAsia" w:ascii="华文仿宋" w:hAnsi="华文仿宋" w:eastAsia="华文仿宋" w:cs="华文仿宋"/>
          <w:i w:val="0"/>
          <w:iCs w:val="0"/>
          <w:caps w:val="0"/>
          <w:color w:val="31859B"/>
          <w:spacing w:val="0"/>
          <w:sz w:val="30"/>
          <w:szCs w:val="30"/>
          <w:bdr w:val="none" w:color="auto" w:sz="0" w:space="0"/>
          <w:shd w:val="clear" w:fill="FFFFFF"/>
        </w:rPr>
        <w:t>3. 配套服务：享受公费医疗、年度体检等，协助解决保险、落户和签证等相关事宜，提供一站式服务。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820" w:right="0" w:hanging="1820"/>
        <w:rPr>
          <w:rFonts w:hint="eastAsia" w:ascii="微软雅黑" w:hAnsi="微软雅黑" w:eastAsia="微软雅黑" w:cs="微软雅黑"/>
          <w:i w:val="0"/>
          <w:iCs w:val="0"/>
          <w:caps w:val="0"/>
          <w:color w:val="000000"/>
          <w:spacing w:val="0"/>
          <w:sz w:val="18"/>
          <w:szCs w:val="18"/>
        </w:rPr>
      </w:pPr>
      <w:r>
        <w:rPr>
          <w:rFonts w:hint="default" w:ascii="Calibri" w:hAnsi="Calibri" w:eastAsia="微软雅黑" w:cs="Calibri"/>
          <w:i w:val="0"/>
          <w:iCs w:val="0"/>
          <w:caps w:val="0"/>
          <w:color w:val="000000"/>
          <w:spacing w:val="0"/>
          <w:sz w:val="28"/>
          <w:szCs w:val="28"/>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冬青黑体简体中文 W3">
    <w:panose1 w:val="020B0300000000000000"/>
    <w:charset w:val="86"/>
    <w:family w:val="auto"/>
    <w:pitch w:val="default"/>
    <w:sig w:usb0="A00002BF" w:usb1="1ACF7CFA" w:usb2="00000016" w:usb3="00000000" w:csb0="00060007" w:csb1="00000000"/>
  </w:font>
  <w:font w:name="华文仿宋">
    <w:panose1 w:val="02010600040101010101"/>
    <w:charset w:val="86"/>
    <w:family w:val="auto"/>
    <w:pitch w:val="default"/>
    <w:sig w:usb0="00000287" w:usb1="080F0000" w:usb2="00000000" w:usb3="00000000" w:csb0="0004009F" w:csb1="DFD7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444CE"/>
    <w:rsid w:val="0DDF3F29"/>
    <w:rsid w:val="10C42ABE"/>
    <w:rsid w:val="15D13D82"/>
    <w:rsid w:val="1B367B4F"/>
    <w:rsid w:val="390E5BA0"/>
    <w:rsid w:val="4FBD58C5"/>
    <w:rsid w:val="6CC53788"/>
    <w:rsid w:val="734444CE"/>
    <w:rsid w:val="77631423"/>
    <w:rsid w:val="7C5E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2020-11-30T01:34:00Z</dcterms:created>
  <dc:creator>Administrator</dc:creator>
  <cp:lastModifiedBy>Administrator</cp:lastModifiedBy>
  <dcterms:modified xsi:type="dcterms:W3CDTF">2020-11-30T02:03:17Z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