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宋体" w:eastAsia="黑体" w:cs="黑体"/>
          <w:b w:val="0"/>
          <w:i w:val="0"/>
          <w:caps w:val="0"/>
          <w:color w:val="302A2C"/>
          <w:spacing w:val="0"/>
          <w:sz w:val="28"/>
          <w:szCs w:val="28"/>
          <w:shd w:val="clear" w:fill="FFFFFF"/>
          <w:lang w:val="en-US" w:eastAsia="zh-CN"/>
        </w:rPr>
      </w:pPr>
      <w:bookmarkStart w:id="0" w:name="_GoBack"/>
      <w:bookmarkEnd w:id="0"/>
      <w:r>
        <w:rPr>
          <w:rFonts w:hint="eastAsia" w:ascii="黑体" w:eastAsia="黑体" w:cs="黑体"/>
          <w:b w:val="0"/>
          <w:i w:val="0"/>
          <w:caps w:val="0"/>
          <w:color w:val="302A2C"/>
          <w:spacing w:val="0"/>
          <w:sz w:val="28"/>
          <w:szCs w:val="28"/>
          <w:shd w:val="clear" w:fill="FFFFFF"/>
          <w:lang w:eastAsia="zh-CN"/>
        </w:rPr>
        <w:t>附件</w:t>
      </w:r>
      <w:r>
        <w:rPr>
          <w:rFonts w:hint="eastAsia" w:ascii="黑体" w:eastAsia="黑体" w:cs="黑体"/>
          <w:b w:val="0"/>
          <w:i w:val="0"/>
          <w:caps w:val="0"/>
          <w:color w:val="302A2C"/>
          <w:spacing w:val="0"/>
          <w:sz w:val="28"/>
          <w:szCs w:val="28"/>
          <w:shd w:val="clear" w:fill="FFFFFF"/>
          <w:lang w:val="en-US" w:eastAsia="zh-CN"/>
        </w:rPr>
        <w:t>3</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华文中宋" w:hAnsi="华文中宋" w:eastAsia="华文中宋" w:cs="华文中宋"/>
          <w:b/>
          <w:bCs/>
          <w:i w:val="0"/>
          <w:caps w:val="0"/>
          <w:color w:val="302A2C"/>
          <w:spacing w:val="0"/>
          <w:sz w:val="36"/>
          <w:szCs w:val="36"/>
        </w:rPr>
      </w:pPr>
      <w:r>
        <w:rPr>
          <w:rFonts w:hint="eastAsia" w:ascii="华文中宋" w:hAnsi="华文中宋" w:eastAsia="华文中宋" w:cs="华文中宋"/>
          <w:b/>
          <w:bCs/>
          <w:i w:val="0"/>
          <w:caps w:val="0"/>
          <w:color w:val="302A2C"/>
          <w:spacing w:val="0"/>
          <w:sz w:val="36"/>
          <w:szCs w:val="36"/>
          <w:shd w:val="clear" w:fill="FFFFFF"/>
        </w:rPr>
        <w:t>事业单位公开招聘违纪违规行为处理规定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rPr>
        <w:t>总 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第一条 为加强事业单位公开招聘工作管理，规范公开招聘违纪违规行为的认定与处理，保证招聘工作公开、公平、公正，根据《事业单位人事管理条例》等有关规定，制定本规定。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第二条 事业单位公开招聘中违纪违规行为的认定与处理，适用本规定。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第三条 认定与处理公开招聘违纪违规行为，应当事实清楚、证据确凿、程序规范、适用规定准确。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第四条 中央事业单位人事综合管理部门负责全国事业单位公开招聘工作的综合管理与监督。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各级事业单位人事综合管理部门、事业单位主管部门、招聘单位按照事业单位公开招聘管理权限，依据本规定对公开招聘违纪违规行为进行认定与处理。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第二章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应聘人员违纪违规行为处理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第五条 应聘人员在报名过程中有下列违纪违规行为之一的，取消其本次应聘资格：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（一）伪造、涂改证件、证明等报名材料，或者以其他不正当手段获取应聘资格的；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（二）提供的涉及报考资格的申请材料或者信息不实，且影响报名审核结果的；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（三）其他应当取消其本次应聘资格的违纪违规行为。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第六条 应聘人员在考试过程中有下列违纪违规行为之一的，给予其当次该科目考试成绩无效的处理：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（一）携带规定以外的物品进入考场且未按要求放在指定位置，经提醒仍不改正的；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（二）未在规定座位参加考试，或者未经考试工作人员允许擅自离开座位或者考场，经提醒仍不改正的；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（三）经提醒仍不按规定填写、填涂本人信息的；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（四）在试卷、答题纸、答题卡规定以外位置标注本人信息或者其他特殊标记的；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（五）在考试开始信号发出前答题，或者在考试结束信号发出后继续答题，经提醒仍不停止的；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（六）将试卷、答题卡、答题纸带出考场，或者故意损坏试卷、答题卡、答题纸及考试相关设施设备的；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（七）其他应当给予当次该科目考试成绩无效处理的违纪违规行为。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（一）抄袭、协助他人抄袭的；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（二）互相传递试卷、答题纸、答题卡、草稿纸等的；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（三）持伪造证件参加考试的；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（四）使用禁止带入考场的通讯工具、规定以外的电子用品的；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（五）本人离开考场后，在本场考试结束前，传播考试试题及答案的；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（六）其他应当给予当次全部科目考试成绩无效处理并记入事业单位公开招聘应聘人员诚信档案库的严重违纪违规行为。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（一）串通作弊或者参与有组织作弊的；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（二）代替他人或者让他人代替自己参加考试的；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（三）其他应当给予当次全部科目考试成绩无效处理并记入事业单位公开招聘应聘人员诚信档案库的特别严重的违纪违规行为。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（一）故意扰乱考点、考场以及其他招聘工作场所秩序的；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（二）拒绝、妨碍工作人员履行管理职责的；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（三）威胁、侮辱、诽谤、诬陷工作人员或者其他应聘人员的；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（四）其他扰乱招聘工作秩序的违纪违规行为。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应聘人员之间同一科目作答内容雷同，并有其他相关证据证明其违纪违规行为成立的，视具体情形按照本规定第七条、第八条处理。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第三章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招聘单位和招聘工作人员违纪违规行为处理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（一）未按规定权限和程序核准（备案）招聘方案，擅自组织公开招聘的；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（二）设置与岗位无关的指向性或者限制性条件的；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（三）未按规定发布招聘公告的；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（四）招聘公告发布后，擅自变更招聘程序、岗位条件、招聘人数、考试考察方式等的；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（五）未按招聘条件进行资格审查的；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（六）未按规定组织体检的；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（七）未按规定公示拟聘用人员名单的；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（八）其他应当责令改正的违纪违规行为。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第十六条 招聘工作人员有下列行为之一的，由相关部门给予处分，并停止其继续参加当年及下一年度招聘工作：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（一）擅自提前考试开始时间、推迟考试结束时间及缩短考试时间的；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（二）擅自为应聘人员调换考场或者座位的；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（三）未准确记录考场情况及违纪违规行为，并造成一定影响的；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（四）未执行回避制度的；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（五）其他一般违纪违规行为。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第十七条 招聘工作人员有下列行为之一的，由相关部门给予处分，并将其调离招聘工作岗位，不得再从事招聘工作；构成犯罪的，依法追究刑事责任：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（一）指使、纵容他人作弊，或者在考试、考察、体检过程中参与作弊的；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（二）在保密期限内，泄露考试试题、面试评分要素等应当保密的信息的；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（三）擅自更改考试评分标准或者不按评分标准进行评卷的；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（四）监管不严，导致考场出现大面积作弊现象的；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（五）玩忽职守，造成不良影响的；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（六）其他严重违纪违规行为。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第四章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处理程序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对应聘人员违纪违规行为作出处理决定的，应当制作公开招聘违纪违规行为处理决定书，依法送达被处理的应聘人员。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第二十条 应聘人员对处理决定不服的，可以依法申请行政复议或者提起行政诉讼。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第二十一条 参与公开招聘的工作人员对因违纪违规行为受到处分不服的，可以依法申请复核或者提出申诉。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第五章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附 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378F0"/>
    <w:multiLevelType w:val="singleLevel"/>
    <w:tmpl w:val="5FC378F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671FA"/>
    <w:rsid w:val="128070F1"/>
    <w:rsid w:val="557671FA"/>
    <w:rsid w:val="5D3C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2020-11-29T10:27:00Z</dcterms:created>
  <dc:creator>李勇</dc:creator>
  <cp:lastModifiedBy>ぺ灬cc果冻ル</cp:lastModifiedBy>
  <dcterms:modified xsi:type="dcterms:W3CDTF">2020-12-04T05:55:53Z</dcterms:modified>
  <dc:title>事业单位公开招聘违纪违规行为处理规定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