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750"/>
        <w:gridCol w:w="735"/>
        <w:gridCol w:w="420"/>
        <w:gridCol w:w="945"/>
        <w:gridCol w:w="1725"/>
        <w:gridCol w:w="2895"/>
        <w:gridCol w:w="1245"/>
      </w:tblGrid>
      <w:tr w:rsidR="00DF10C0" w:rsidRPr="00DF10C0" w:rsidTr="00DF10C0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招聘序号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招聘职位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DF10C0" w:rsidRPr="00DF10C0" w:rsidTr="00DF10C0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国民教育序列大学本科及以上学历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法学及相关专业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DF10C0" w:rsidRPr="00DF10C0" w:rsidTr="00DF10C0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国民教育序列大学本科及以上学历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马克思主义理论类、中国语言文学类、新闻传播学类及相关专业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DF10C0" w:rsidRPr="00DF10C0" w:rsidTr="00DF10C0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国民教育序列大学本科及以上学历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FangSong_GB2312" w:eastAsia="FangSong_GB2312" w:hAnsi="FangSong_GB2312" w:cs="宋体" w:hint="eastAsia"/>
                <w:color w:val="000000"/>
                <w:sz w:val="24"/>
                <w:szCs w:val="24"/>
              </w:rPr>
              <w:t>经济学类、统计学类及相关专业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0C0" w:rsidRPr="00DF10C0" w:rsidRDefault="00DF10C0" w:rsidP="00DF1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10C0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10C0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F10C0"/>
    <w:rsid w:val="00E873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2020-12-04T01:24:00Z</dcterms:created>
  <dcterms:modified xsi:type="dcterms:W3CDTF">2020-12-04T01:24:00Z</dcterms:modified>
</cp:coreProperties>
</file>