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sz w:val="32"/>
          <w:szCs w:val="32"/>
          <w:lang w:val="en"/>
        </w:rPr>
      </w:pPr>
      <w:r>
        <w:rPr>
          <w:rFonts w:hint="eastAsia" w:ascii="仿宋" w:hAnsi="仿宋" w:eastAsia="仿宋"/>
          <w:sz w:val="32"/>
          <w:szCs w:val="32"/>
          <w:lang w:val="en"/>
        </w:rPr>
        <w:t>附件</w:t>
      </w:r>
      <w:r>
        <w:rPr>
          <w:rFonts w:ascii="仿宋" w:hAnsi="仿宋" w:eastAsia="仿宋"/>
          <w:sz w:val="32"/>
          <w:szCs w:val="32"/>
          <w:lang w:val="en"/>
        </w:rPr>
        <w:t>1</w:t>
      </w:r>
      <w:r>
        <w:rPr>
          <w:rFonts w:hint="eastAsia" w:ascii="仿宋" w:hAnsi="仿宋" w:eastAsia="仿宋"/>
          <w:sz w:val="32"/>
          <w:szCs w:val="32"/>
          <w:lang w:val="en"/>
        </w:rPr>
        <w:t>：</w:t>
      </w:r>
    </w:p>
    <w:p>
      <w:pPr>
        <w:spacing w:line="360" w:lineRule="auto"/>
        <w:jc w:val="center"/>
        <w:rPr>
          <w:rFonts w:hint="eastAsia" w:ascii="仿宋" w:hAnsi="仿宋" w:eastAsia="仿宋"/>
          <w:sz w:val="32"/>
          <w:szCs w:val="32"/>
          <w:lang w:val="en"/>
        </w:rPr>
      </w:pPr>
      <w:bookmarkStart w:id="1" w:name="_GoBack"/>
      <w:r>
        <w:rPr>
          <w:rFonts w:hint="eastAsia" w:ascii="方正小标宋简体" w:eastAsia="方正小标宋简体"/>
          <w:sz w:val="28"/>
          <w:lang w:val="en"/>
        </w:rPr>
        <w:t>住房和城乡建设部科技与产业化发展</w:t>
      </w:r>
      <w:bookmarkStart w:id="0" w:name="_Hlk56685050"/>
      <w:r>
        <w:rPr>
          <w:rFonts w:hint="eastAsia" w:ascii="方正小标宋简体" w:eastAsia="方正小标宋简体"/>
          <w:sz w:val="28"/>
          <w:lang w:val="en"/>
        </w:rPr>
        <w:t>中心202</w:t>
      </w:r>
      <w:r>
        <w:rPr>
          <w:rFonts w:ascii="方正小标宋简体" w:eastAsia="方正小标宋简体"/>
          <w:sz w:val="28"/>
          <w:lang w:val="en"/>
        </w:rPr>
        <w:t>1</w:t>
      </w:r>
      <w:r>
        <w:rPr>
          <w:rFonts w:hint="eastAsia" w:ascii="方正小标宋简体" w:eastAsia="方正小标宋简体"/>
          <w:sz w:val="28"/>
          <w:lang w:val="en"/>
        </w:rPr>
        <w:t>年度公开</w:t>
      </w:r>
      <w:r>
        <w:rPr>
          <w:rFonts w:ascii="方正小标宋简体" w:eastAsia="方正小标宋简体"/>
          <w:sz w:val="28"/>
          <w:lang w:val="en"/>
        </w:rPr>
        <w:t>招聘</w:t>
      </w:r>
      <w:r>
        <w:rPr>
          <w:rFonts w:hint="eastAsia" w:ascii="方正小标宋简体" w:eastAsia="方正小标宋简体"/>
          <w:sz w:val="28"/>
          <w:lang w:val="en"/>
        </w:rPr>
        <w:t>高校应届毕业生</w:t>
      </w:r>
      <w:r>
        <w:rPr>
          <w:rFonts w:ascii="方正小标宋简体" w:eastAsia="方正小标宋简体"/>
          <w:sz w:val="28"/>
          <w:lang w:val="en"/>
        </w:rPr>
        <w:t>岗位</w:t>
      </w:r>
      <w:r>
        <w:rPr>
          <w:rFonts w:hint="eastAsia" w:ascii="方正小标宋简体" w:eastAsia="方正小标宋简体"/>
          <w:sz w:val="28"/>
          <w:lang w:val="en"/>
        </w:rPr>
        <w:t>信息表</w:t>
      </w:r>
      <w:bookmarkEnd w:id="1"/>
    </w:p>
    <w:bookmarkEnd w:id="0"/>
    <w:p>
      <w:pPr>
        <w:rPr>
          <w:lang w:val="en"/>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882"/>
        <w:gridCol w:w="3101"/>
        <w:gridCol w:w="2055"/>
        <w:gridCol w:w="2055"/>
        <w:gridCol w:w="2583"/>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6" w:type="dxa"/>
            <w:noWrap w:val="0"/>
            <w:vAlign w:val="center"/>
          </w:tcPr>
          <w:p>
            <w:pPr>
              <w:spacing w:line="360" w:lineRule="auto"/>
              <w:jc w:val="center"/>
              <w:rPr>
                <w:rFonts w:hint="eastAsia" w:ascii="仿宋_GB2312" w:eastAsia="仿宋_GB2312"/>
                <w:b/>
                <w:sz w:val="24"/>
              </w:rPr>
            </w:pPr>
            <w:r>
              <w:rPr>
                <w:rFonts w:hint="eastAsia" w:ascii="仿宋_GB2312" w:eastAsia="仿宋_GB2312"/>
                <w:b/>
                <w:sz w:val="24"/>
              </w:rPr>
              <w:t>部  门</w:t>
            </w:r>
          </w:p>
        </w:tc>
        <w:tc>
          <w:tcPr>
            <w:tcW w:w="882" w:type="dxa"/>
            <w:noWrap w:val="0"/>
            <w:vAlign w:val="center"/>
          </w:tcPr>
          <w:p>
            <w:pPr>
              <w:spacing w:line="360" w:lineRule="auto"/>
              <w:jc w:val="center"/>
              <w:rPr>
                <w:rFonts w:hint="eastAsia" w:ascii="仿宋_GB2312" w:eastAsia="仿宋_GB2312"/>
                <w:b/>
                <w:sz w:val="24"/>
              </w:rPr>
            </w:pPr>
            <w:r>
              <w:rPr>
                <w:rFonts w:hint="eastAsia" w:ascii="仿宋_GB2312" w:eastAsia="仿宋_GB2312"/>
                <w:b/>
                <w:sz w:val="24"/>
              </w:rPr>
              <w:t>数量</w:t>
            </w:r>
          </w:p>
        </w:tc>
        <w:tc>
          <w:tcPr>
            <w:tcW w:w="3101" w:type="dxa"/>
            <w:noWrap w:val="0"/>
            <w:vAlign w:val="center"/>
          </w:tcPr>
          <w:p>
            <w:pPr>
              <w:spacing w:line="360" w:lineRule="auto"/>
              <w:jc w:val="center"/>
              <w:rPr>
                <w:rFonts w:hint="eastAsia" w:ascii="仿宋_GB2312" w:eastAsia="仿宋_GB2312"/>
                <w:b/>
                <w:sz w:val="24"/>
              </w:rPr>
            </w:pPr>
            <w:r>
              <w:rPr>
                <w:rFonts w:hint="eastAsia" w:ascii="仿宋_GB2312" w:eastAsia="仿宋_GB2312"/>
                <w:b/>
                <w:sz w:val="24"/>
              </w:rPr>
              <w:t>岗位</w:t>
            </w:r>
          </w:p>
        </w:tc>
        <w:tc>
          <w:tcPr>
            <w:tcW w:w="2055" w:type="dxa"/>
            <w:noWrap w:val="0"/>
            <w:vAlign w:val="top"/>
          </w:tcPr>
          <w:p>
            <w:pPr>
              <w:spacing w:line="360" w:lineRule="auto"/>
              <w:jc w:val="center"/>
              <w:rPr>
                <w:rFonts w:hint="eastAsia" w:ascii="仿宋_GB2312" w:eastAsia="仿宋_GB2312"/>
                <w:b/>
                <w:sz w:val="24"/>
              </w:rPr>
            </w:pPr>
            <w:r>
              <w:rPr>
                <w:rFonts w:hint="eastAsia" w:ascii="仿宋_GB2312" w:eastAsia="仿宋_GB2312"/>
                <w:b/>
                <w:sz w:val="24"/>
              </w:rPr>
              <w:t>岗位职责</w:t>
            </w:r>
          </w:p>
        </w:tc>
        <w:tc>
          <w:tcPr>
            <w:tcW w:w="2055" w:type="dxa"/>
            <w:noWrap w:val="0"/>
            <w:vAlign w:val="center"/>
          </w:tcPr>
          <w:p>
            <w:pPr>
              <w:spacing w:line="360" w:lineRule="auto"/>
              <w:jc w:val="center"/>
              <w:rPr>
                <w:rFonts w:hint="eastAsia" w:ascii="仿宋_GB2312" w:eastAsia="仿宋_GB2312"/>
                <w:b/>
                <w:sz w:val="24"/>
              </w:rPr>
            </w:pPr>
            <w:r>
              <w:rPr>
                <w:rFonts w:hint="eastAsia" w:ascii="仿宋_GB2312" w:eastAsia="仿宋_GB2312"/>
                <w:b/>
                <w:sz w:val="24"/>
              </w:rPr>
              <w:t>专 业</w:t>
            </w:r>
          </w:p>
        </w:tc>
        <w:tc>
          <w:tcPr>
            <w:tcW w:w="2583" w:type="dxa"/>
            <w:noWrap w:val="0"/>
            <w:vAlign w:val="center"/>
          </w:tcPr>
          <w:p>
            <w:pPr>
              <w:spacing w:line="360" w:lineRule="auto"/>
              <w:jc w:val="center"/>
              <w:rPr>
                <w:rFonts w:hint="eastAsia" w:ascii="仿宋_GB2312" w:eastAsia="仿宋_GB2312"/>
                <w:b/>
                <w:sz w:val="24"/>
              </w:rPr>
            </w:pPr>
            <w:r>
              <w:rPr>
                <w:rFonts w:hint="eastAsia" w:ascii="仿宋_GB2312" w:eastAsia="仿宋_GB2312"/>
                <w:b/>
                <w:sz w:val="24"/>
              </w:rPr>
              <w:t>学 历</w:t>
            </w:r>
          </w:p>
        </w:tc>
        <w:tc>
          <w:tcPr>
            <w:tcW w:w="1922" w:type="dxa"/>
            <w:noWrap w:val="0"/>
            <w:vAlign w:val="center"/>
          </w:tcPr>
          <w:p>
            <w:pPr>
              <w:spacing w:line="360" w:lineRule="auto"/>
              <w:jc w:val="center"/>
              <w:rPr>
                <w:rFonts w:hint="eastAsia" w:ascii="仿宋_GB2312" w:eastAsia="仿宋_GB2312"/>
                <w:b/>
                <w:sz w:val="24"/>
              </w:rPr>
            </w:pPr>
            <w:r>
              <w:rPr>
                <w:rFonts w:hint="eastAsia" w:ascii="仿宋_GB2312" w:eastAsia="仿宋_GB2312"/>
                <w:b/>
                <w:sz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jc w:val="center"/>
        </w:trPr>
        <w:tc>
          <w:tcPr>
            <w:tcW w:w="1576" w:type="dxa"/>
            <w:noWrap w:val="0"/>
            <w:vAlign w:val="center"/>
          </w:tcPr>
          <w:p>
            <w:pPr>
              <w:jc w:val="center"/>
              <w:rPr>
                <w:rFonts w:ascii="仿宋" w:hAnsi="仿宋" w:eastAsia="仿宋"/>
                <w:sz w:val="24"/>
              </w:rPr>
            </w:pPr>
            <w:r>
              <w:rPr>
                <w:rFonts w:hint="eastAsia" w:ascii="仿宋" w:hAnsi="仿宋" w:eastAsia="仿宋"/>
                <w:sz w:val="24"/>
              </w:rPr>
              <w:t>村镇建设与人居环境处</w:t>
            </w:r>
          </w:p>
        </w:tc>
        <w:tc>
          <w:tcPr>
            <w:tcW w:w="882" w:type="dxa"/>
            <w:noWrap w:val="0"/>
            <w:vAlign w:val="center"/>
          </w:tcPr>
          <w:p>
            <w:pPr>
              <w:jc w:val="center"/>
              <w:rPr>
                <w:rFonts w:hint="eastAsia" w:ascii="仿宋" w:hAnsi="仿宋" w:eastAsia="仿宋"/>
                <w:sz w:val="24"/>
              </w:rPr>
            </w:pPr>
            <w:r>
              <w:rPr>
                <w:rFonts w:hint="eastAsia" w:ascii="仿宋" w:hAnsi="仿宋" w:eastAsia="仿宋"/>
                <w:sz w:val="24"/>
              </w:rPr>
              <w:t>2</w:t>
            </w:r>
          </w:p>
        </w:tc>
        <w:tc>
          <w:tcPr>
            <w:tcW w:w="3101" w:type="dxa"/>
            <w:noWrap w:val="0"/>
            <w:vAlign w:val="center"/>
          </w:tcPr>
          <w:p>
            <w:pPr>
              <w:jc w:val="center"/>
              <w:rPr>
                <w:rFonts w:ascii="仿宋" w:hAnsi="仿宋" w:eastAsia="仿宋"/>
                <w:sz w:val="24"/>
              </w:rPr>
            </w:pPr>
            <w:r>
              <w:rPr>
                <w:rFonts w:hint="eastAsia" w:ascii="仿宋" w:hAnsi="仿宋" w:eastAsia="仿宋"/>
                <w:sz w:val="24"/>
              </w:rPr>
              <w:t>共同缔造、村镇建设科研管理及咨询服务岗位</w:t>
            </w:r>
          </w:p>
        </w:tc>
        <w:tc>
          <w:tcPr>
            <w:tcW w:w="2055" w:type="dxa"/>
            <w:noWrap w:val="0"/>
            <w:vAlign w:val="center"/>
          </w:tcPr>
          <w:p>
            <w:pPr>
              <w:jc w:val="center"/>
              <w:rPr>
                <w:rFonts w:hint="eastAsia" w:ascii="仿宋" w:hAnsi="仿宋" w:eastAsia="仿宋"/>
                <w:sz w:val="24"/>
              </w:rPr>
            </w:pPr>
            <w:r>
              <w:rPr>
                <w:rFonts w:hint="eastAsia" w:ascii="仿宋" w:hAnsi="仿宋" w:eastAsia="仿宋"/>
                <w:sz w:val="24"/>
              </w:rPr>
              <w:t>参加</w:t>
            </w:r>
            <w:r>
              <w:rPr>
                <w:rFonts w:ascii="仿宋" w:hAnsi="仿宋" w:eastAsia="仿宋"/>
                <w:sz w:val="24"/>
              </w:rPr>
              <w:t>中心</w:t>
            </w:r>
            <w:r>
              <w:rPr>
                <w:rFonts w:hint="eastAsia" w:ascii="仿宋" w:hAnsi="仿宋" w:eastAsia="仿宋"/>
                <w:sz w:val="24"/>
              </w:rPr>
              <w:t>承担的国家</w:t>
            </w:r>
            <w:r>
              <w:rPr>
                <w:rFonts w:ascii="仿宋" w:hAnsi="仿宋" w:eastAsia="仿宋"/>
                <w:sz w:val="24"/>
              </w:rPr>
              <w:t>重点研发计划</w:t>
            </w:r>
            <w:r>
              <w:rPr>
                <w:rFonts w:hint="eastAsia" w:ascii="仿宋" w:hAnsi="仿宋" w:eastAsia="仿宋"/>
                <w:sz w:val="24"/>
              </w:rPr>
              <w:t>，参与课题组日常管理、</w:t>
            </w:r>
            <w:r>
              <w:rPr>
                <w:rFonts w:ascii="仿宋" w:hAnsi="仿宋" w:eastAsia="仿宋"/>
                <w:sz w:val="24"/>
              </w:rPr>
              <w:t>调研分析</w:t>
            </w:r>
            <w:r>
              <w:rPr>
                <w:rFonts w:hint="eastAsia" w:ascii="仿宋" w:hAnsi="仿宋" w:eastAsia="仿宋"/>
                <w:sz w:val="24"/>
              </w:rPr>
              <w:t>和技术咨询</w:t>
            </w:r>
            <w:r>
              <w:rPr>
                <w:rFonts w:ascii="仿宋" w:hAnsi="仿宋" w:eastAsia="仿宋"/>
                <w:sz w:val="24"/>
              </w:rPr>
              <w:t>等工作</w:t>
            </w:r>
          </w:p>
        </w:tc>
        <w:tc>
          <w:tcPr>
            <w:tcW w:w="2055" w:type="dxa"/>
            <w:noWrap w:val="0"/>
            <w:vAlign w:val="center"/>
          </w:tcPr>
          <w:p>
            <w:pPr>
              <w:jc w:val="center"/>
              <w:rPr>
                <w:rFonts w:ascii="仿宋" w:hAnsi="仿宋" w:eastAsia="仿宋"/>
                <w:sz w:val="24"/>
              </w:rPr>
            </w:pPr>
            <w:r>
              <w:rPr>
                <w:rFonts w:hint="eastAsia" w:ascii="仿宋" w:hAnsi="仿宋" w:eastAsia="仿宋"/>
                <w:sz w:val="24"/>
              </w:rPr>
              <w:t>建筑学、土木工程等建设领域相关专业</w:t>
            </w:r>
          </w:p>
          <w:p>
            <w:pPr>
              <w:jc w:val="center"/>
              <w:rPr>
                <w:rFonts w:ascii="仿宋" w:hAnsi="仿宋" w:eastAsia="仿宋"/>
                <w:sz w:val="24"/>
              </w:rPr>
            </w:pPr>
          </w:p>
          <w:p>
            <w:pPr>
              <w:jc w:val="center"/>
              <w:rPr>
                <w:rFonts w:hint="eastAsia" w:ascii="仿宋" w:hAnsi="仿宋" w:eastAsia="仿宋"/>
                <w:sz w:val="24"/>
              </w:rPr>
            </w:pPr>
          </w:p>
        </w:tc>
        <w:tc>
          <w:tcPr>
            <w:tcW w:w="2583" w:type="dxa"/>
            <w:noWrap w:val="0"/>
            <w:vAlign w:val="center"/>
          </w:tcPr>
          <w:p>
            <w:pPr>
              <w:widowControl/>
              <w:adjustRightInd w:val="0"/>
              <w:snapToGrid w:val="0"/>
              <w:rPr>
                <w:rFonts w:ascii="仿宋" w:hAnsi="仿宋" w:eastAsia="仿宋"/>
                <w:sz w:val="24"/>
              </w:rPr>
            </w:pPr>
            <w:r>
              <w:rPr>
                <w:rFonts w:hint="eastAsia" w:ascii="仿宋" w:hAnsi="仿宋" w:eastAsia="仿宋"/>
                <w:sz w:val="24"/>
              </w:rPr>
              <w:t>2021年全国普通高等学校统招统分硕士及以上学历应届毕业生（不含定向生、委培生）。报考人员在2</w:t>
            </w:r>
            <w:r>
              <w:rPr>
                <w:rFonts w:ascii="仿宋" w:hAnsi="仿宋" w:eastAsia="仿宋"/>
                <w:sz w:val="24"/>
              </w:rPr>
              <w:t>021</w:t>
            </w:r>
            <w:r>
              <w:rPr>
                <w:rFonts w:hint="eastAsia" w:ascii="仿宋" w:hAnsi="仿宋" w:eastAsia="仿宋"/>
                <w:sz w:val="24"/>
              </w:rPr>
              <w:t>年8月前须取得毕业证以及与最高学历对应的学历学位证书；海外留学归国人员须符合教育部留学服务中心关于留学归国人员就业报到及落户政策要求</w:t>
            </w:r>
          </w:p>
        </w:tc>
        <w:tc>
          <w:tcPr>
            <w:tcW w:w="1922" w:type="dxa"/>
            <w:noWrap w:val="0"/>
            <w:vAlign w:val="center"/>
          </w:tcPr>
          <w:p>
            <w:pPr>
              <w:jc w:val="left"/>
              <w:rPr>
                <w:rFonts w:hint="eastAsia" w:ascii="仿宋" w:hAnsi="仿宋" w:eastAsia="仿宋"/>
                <w:sz w:val="24"/>
              </w:rPr>
            </w:pPr>
            <w:r>
              <w:rPr>
                <w:rFonts w:hint="eastAsia" w:ascii="仿宋" w:hAnsi="仿宋" w:eastAsia="仿宋"/>
                <w:sz w:val="24"/>
              </w:rPr>
              <w:t>京内、京外生源各1名。京外生源要符合申请办理在京就业落户条件</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F84E8F"/>
    <w:rsid w:val="33F84E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2020-12-09T07:43:00Z</dcterms:created>
  <dc:creator>user</dc:creator>
  <cp:lastModifiedBy>user</cp:lastModifiedBy>
  <dcterms:modified xsi:type="dcterms:W3CDTF">2020-12-09T07:43:41Z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