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2687" w:type="dxa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8"/>
        <w:gridCol w:w="1014"/>
        <w:gridCol w:w="1834"/>
        <w:gridCol w:w="1424"/>
        <w:gridCol w:w="1208"/>
        <w:gridCol w:w="1424"/>
        <w:gridCol w:w="1532"/>
        <w:gridCol w:w="1835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用人单位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需求数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工作内容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劳动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报酬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连城县气象局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计划财务岗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承担连城县气象局计划财务及局内交办的相关工作。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参照本单位编外人员标准</w:t>
            </w:r>
          </w:p>
        </w:tc>
        <w:tc>
          <w:tcPr>
            <w:tcW w:w="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大学本科及以上</w:t>
            </w:r>
          </w:p>
        </w:tc>
        <w:tc>
          <w:tcPr>
            <w:tcW w:w="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财务相关专业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35周岁以下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6"/>
                <w:szCs w:val="16"/>
                <w:bdr w:val="none" w:color="auto" w:sz="0" w:space="0"/>
              </w:rPr>
              <w:t>有财务等相关工作经验者优先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449F"/>
    <w:rsid w:val="561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2020-12-18T02:19:00Z</dcterms:created>
  <dc:creator>ぺ灬cc果冻ル</dc:creator>
  <cp:lastModifiedBy>ぺ灬cc果冻ル</cp:lastModifiedBy>
  <dcterms:modified xsi:type="dcterms:W3CDTF">2020-12-18T02:19:42Z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