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dotted" w:color="D4D5D4" w:sz="4" w:space="12"/>
          <w:left w:val="none" w:color="auto" w:sz="0" w:space="0"/>
          <w:bottom w:val="single" w:color="98C7F3" w:sz="12" w:space="12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5D79D7"/>
          <w:spacing w:val="0"/>
          <w:sz w:val="30"/>
          <w:szCs w:val="30"/>
          <w:bdr w:val="none" w:color="auto" w:sz="0" w:space="0"/>
          <w:shd w:val="clear" w:fill="FFFFFF"/>
        </w:rPr>
        <w:t>昆明市呈贡区斗南街道社区卫生服务中心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招聘岗位、人数及资格条件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5791200" cy="1666875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54A5"/>
    <w:rsid w:val="1CFD5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2020-12-16T08:22:00Z</dcterms:created>
  <dc:creator>ASUS</dc:creator>
  <cp:lastModifiedBy>ASUS</cp:lastModifiedBy>
  <dcterms:modified xsi:type="dcterms:W3CDTF">2020-12-16T08:22:36Z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