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25" w:beforeLines="200" w:beforeAutospacing="0" w:after="313" w:afterLines="100" w:afterAutospacing="0"/>
        <w:ind w:left="0" w:righ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关于加强柔性引才工作的通知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火炬开发区党工委、管委会，翠亨新区党工委、管委会，各镇区党委（党工委）、人民政府（办事处），市各副处级以上单位：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为深入实施人才强市战略，充分发挥人才第一资源作用，现决定进一步加强柔性引才工作，更好集聚大湾区人才资源，为推动中山重振虎威、实现高质量崛起提供智力支撑。现将有关事项通知如下：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一、柔性引才原则和主体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（一）柔性引才遵循“不求所有，但求所用；不求常在，但求常来”的原则，充分体现使用弹性、管理软性、服务个性，最大限度地吸引集聚市外专家人才。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本通知所称的柔性引才，是指打破国籍、户籍、身份、档案、人事关系等人才流动中的刚性制约，在不改变和影响人才与所属单位人事关系的前提下，引进专家人才每年在我市企事业单位连续或者累计工作1个月以上的人才引进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（三）柔性引才的主体包括：在我市注册、具有独立法人资格、设立时间在1年以上的企业；我市辖区范围内的高等院校、科研院所、卫生医疗、社会服务等事业单位；在我市设立的技术研发和公共服务平台。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二、柔性引才方式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（一）顾问指导。专家人才通过担任顾问、名誉职务等，为用人单位提供战略咨询、业务拓展、技术指导等方面的智力支持。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（二）项目合作。专家人才自带项目或者技术，以关键核心技术联合攻关、科研成果转化、技术入股等方式，与用人单位开展智力合作。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（三）兼职返聘。专家人才以兼职或退休返聘等方式来我市工作，为用人单位提供技术推广、工艺改造、人才培养、课程讲授等方面的智力支持。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（四）其他方式。经市人力资源和社会保障局备案的其他柔性引才方式，如短期聘用、借调、技术承包等。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三、柔性引才补贴标准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柔性引才主要采取后补贴方式，即用人单位支付专家人才薪酬后，按程序申报生活补贴，补贴到账后发放给柔性引才对象本人。具体标准为：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（一）引进第一类、第二类专家人才来中山工作30—60天的，给予最高25万元补贴；工作61天以上的，给予最高30万元补贴；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（二）引进第三类、第四类专家人才来中山工作30—60天的，给予最高20万元补贴；工作61天以上的，给予最高25万元补贴；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（三）引进第五类、第六类专家人才来中山工作30—60天的，给予最高10万元补贴；工作61天以上的，给予最高20万元补贴；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（四）引进第七类、第八类专家人才来中山工作30—60天的，给予最高5万元补贴；工作61天以上的，给予最高10万元补贴。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由市人力资源和社会保障局组织定期申报、集中受理评审。生活补贴具体额度由专家评审组在最高额范围内根据用人单位实际支出薪酬、专家人才类别、工作时间长短、工作成效等综合确定。补贴资金从市人才发展专项资金中列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附件：柔性引才对象类别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0"/>
        <w:jc w:val="righ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中共中山市委组织部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0"/>
        <w:jc w:val="righ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中山市人力资源和社会保障局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atLeast"/>
        <w:ind w:left="0" w:right="0" w:firstLine="0"/>
        <w:jc w:val="righ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2019年12月12日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450" w:beforeAutospacing="0" w:after="150" w:afterAutospacing="0" w:line="540" w:lineRule="atLeast"/>
        <w:ind w:left="0" w:right="0" w:firstLine="420"/>
        <w:rPr>
          <w:rFonts w:hint="eastAsia" w:ascii="仿宋_GB2312" w:hAnsi="仿宋_GB2312" w:eastAsia="仿宋_GB2312" w:cs="仿宋_GB2312"/>
          <w:i w:val="0"/>
          <w:caps w:val="0"/>
          <w:color w:val="auto"/>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450" w:beforeAutospacing="0" w:after="150" w:afterAutospacing="0" w:line="540" w:lineRule="atLeast"/>
        <w:ind w:left="0" w:right="0" w:firstLine="420"/>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方正小标宋简体" w:hAnsi="方正小标宋简体" w:eastAsia="方正小标宋简体" w:cs="方正小标宋简体"/>
          <w:i w:val="0"/>
          <w:caps w:val="0"/>
          <w:color w:val="424242"/>
          <w:spacing w:val="0"/>
          <w:sz w:val="32"/>
          <w:szCs w:val="32"/>
        </w:rPr>
      </w:pPr>
      <w:r>
        <w:rPr>
          <w:rFonts w:hint="eastAsia" w:ascii="方正小标宋简体" w:hAnsi="方正小标宋简体" w:eastAsia="方正小标宋简体" w:cs="方正小标宋简体"/>
          <w:i w:val="0"/>
          <w:caps w:val="0"/>
          <w:color w:val="424242"/>
          <w:spacing w:val="0"/>
          <w:sz w:val="32"/>
          <w:szCs w:val="32"/>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313" w:beforeLines="100" w:beforeAutospacing="0" w:after="157" w:afterLines="5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424242"/>
          <w:spacing w:val="0"/>
          <w:sz w:val="44"/>
          <w:szCs w:val="44"/>
        </w:rPr>
      </w:pPr>
      <w:r>
        <w:rPr>
          <w:rFonts w:hint="eastAsia" w:ascii="方正小标宋简体" w:hAnsi="方正小标宋简体" w:eastAsia="方正小标宋简体" w:cs="方正小标宋简体"/>
          <w:i w:val="0"/>
          <w:caps w:val="0"/>
          <w:color w:val="424242"/>
          <w:spacing w:val="15"/>
          <w:sz w:val="44"/>
          <w:szCs w:val="44"/>
          <w:shd w:val="clear" w:fill="FFFFFF"/>
        </w:rPr>
        <w:t>柔性引才对象类别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424242"/>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rPr>
        <w:t>　结合大湾区发展形势和我市发展需要，柔性引进专家人才对象具体如下：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一、诺贝尔奖获得者，中国国家最高科学技术奖获得者，中国科学院院士，中国工程院院士，中国社会科学院学部委员、荣誉学部委员，担任过世界500强或中国50强企业总部首席执行官、首席技术官或同等职位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二、国家自然科学奖、国家技术发明奖、国家科学技术进步奖的主要完成人，国家百千万人才工程人选，新世纪百千万人才工程国家级人选。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bookmarkStart w:id="0" w:name="_GoBack"/>
      <w:bookmarkEnd w:id="0"/>
      <w:r>
        <w:rPr>
          <w:rFonts w:hint="eastAsia" w:ascii="仿宋_GB2312" w:hAnsi="仿宋_GB2312" w:eastAsia="仿宋_GB2312" w:cs="仿宋_GB2312"/>
          <w:i w:val="0"/>
          <w:caps w:val="0"/>
          <w:color w:val="auto"/>
          <w:spacing w:val="0"/>
          <w:sz w:val="32"/>
          <w:szCs w:val="32"/>
          <w:shd w:val="clear" w:fill="FFFFFF"/>
        </w:rPr>
        <w:t>三、国家“千人计划”“万人计划”人选，中国科学院“百人计划”人选，“长江学者奖励计划”人选，国家有突出贡献的中青年科学、技术、管理专家，中国青年科技奖获得者，全国优秀科技工作者，全国杰出专业技术人才，国家杰出青年基金获得者，担任过世界500强企业或中国50强企业总部副董事长、副总裁、副总经理或总部直属一级子公司(大洲级区域部门) 主要负责人。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四、“珠江人才计划”“广东特支计划”“百名南粤杰出人才”人选，国家重点实验室、重点学科、医学重点专科带头人，中宣部“四个一批”人才工程人选，茅盾文学奖、鲁迅文学奖、文华奖、群星奖等国家级常设性文艺类重要奖项主创人员，中国工艺美术大师，世界技能大赛金银牌获得者，中华技能大奖获得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五、省（部）级科学技术（进步）奖主要完成人，享受国务院特殊津贴人员，全国技术能手，国家级技能大师工作室带头人，担任过世界500强企业或中国50强企业总部中层正职以上管理人员或与之级别相当的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六、具有正高级专业技术资格人员，国内大专院校或科研机构从事重大项目、关键技术或新兴学科的研究工作、同时具有博士学位和副教授以上职称的高级专家学者，南粤技术能手。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七、拥有国际先进、国内领先或能够填补国内空白的核心技术，符合我市产业发展导向，具有市场潜力和产业化能力的专业人才。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八、具有5年以上在大型知名企业、金融机构、学术组织、著名高校、科研机构的高层关键岗位从事研究或管理工作经历，同时具有硕士以上学位的专业技术人员或高级管理人员；我市经济、产业、科技、医疗卫生、教育文化领域急需紧缺的其他具有特殊专长的高层次人才。</w:t>
      </w:r>
    </w:p>
    <w:p>
      <w:pPr>
        <w:keepNext w:val="0"/>
        <w:keepLines w:val="0"/>
        <w:pageBreakBefore w:val="0"/>
        <w:shd w:val="clear"/>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公务员、参照公务员法管理单位的工作人员不列入柔性引才的范围。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F350F"/>
    <w:rsid w:val="65437D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lizhirui</cp:lastModifiedBy>
  <dcterms:modified xsi:type="dcterms:W3CDTF">2020-05-06T09:34:45Z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