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pPr w:vertAnchor="text" w:tblpXSpec="left"/>
        <w:tblW w:w="838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85"/>
        <w:gridCol w:w="2520"/>
        <w:gridCol w:w="1500"/>
        <w:gridCol w:w="1560"/>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5" w:hRule="atLeast"/>
          <w:tblCellSpacing w:w="0" w:type="dxa"/>
        </w:trPr>
        <w:tc>
          <w:tcPr>
            <w:tcW w:w="1185"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color w:val="333333"/>
              </w:rPr>
            </w:pPr>
            <w:r>
              <w:rPr>
                <w:rStyle w:val="5"/>
                <w:rFonts w:ascii="仿宋" w:hAnsi="仿宋" w:eastAsia="仿宋" w:cs="仿宋"/>
                <w:i w:val="0"/>
                <w:caps w:val="0"/>
                <w:color w:val="333333"/>
                <w:spacing w:val="0"/>
                <w:sz w:val="24"/>
                <w:szCs w:val="24"/>
                <w:bdr w:val="none" w:color="auto" w:sz="0" w:space="0"/>
              </w:rPr>
              <w:t>层次</w:t>
            </w:r>
          </w:p>
        </w:tc>
        <w:tc>
          <w:tcPr>
            <w:tcW w:w="2520"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color w:val="333333"/>
              </w:rPr>
            </w:pPr>
            <w:r>
              <w:rPr>
                <w:rStyle w:val="5"/>
                <w:rFonts w:hint="eastAsia" w:ascii="仿宋" w:hAnsi="仿宋" w:eastAsia="仿宋" w:cs="仿宋"/>
                <w:i w:val="0"/>
                <w:caps w:val="0"/>
                <w:color w:val="333333"/>
                <w:spacing w:val="0"/>
                <w:sz w:val="24"/>
                <w:szCs w:val="24"/>
                <w:bdr w:val="none" w:color="auto" w:sz="0" w:space="0"/>
              </w:rPr>
              <w:t>类型</w:t>
            </w:r>
          </w:p>
        </w:tc>
        <w:tc>
          <w:tcPr>
            <w:tcW w:w="4680" w:type="dxa"/>
            <w:gridSpan w:val="3"/>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color w:val="333333"/>
              </w:rPr>
            </w:pPr>
            <w:r>
              <w:rPr>
                <w:rStyle w:val="5"/>
                <w:rFonts w:hint="eastAsia" w:ascii="仿宋" w:hAnsi="仿宋" w:eastAsia="仿宋" w:cs="仿宋"/>
                <w:i w:val="0"/>
                <w:caps w:val="0"/>
                <w:color w:val="333333"/>
                <w:spacing w:val="0"/>
                <w:sz w:val="24"/>
                <w:szCs w:val="24"/>
                <w:bdr w:val="none" w:color="auto" w:sz="0" w:space="0"/>
              </w:rPr>
              <w:t>相关待遇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5" w:hRule="atLeast"/>
          <w:tblCellSpacing w:w="0" w:type="dxa"/>
        </w:trPr>
        <w:tc>
          <w:tcPr>
            <w:tcW w:w="118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2520"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15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color w:val="333333"/>
              </w:rPr>
            </w:pPr>
            <w:r>
              <w:rPr>
                <w:rStyle w:val="5"/>
                <w:rFonts w:hint="eastAsia" w:ascii="仿宋" w:hAnsi="仿宋" w:eastAsia="仿宋" w:cs="仿宋"/>
                <w:i w:val="0"/>
                <w:caps w:val="0"/>
                <w:color w:val="333333"/>
                <w:spacing w:val="0"/>
                <w:sz w:val="24"/>
                <w:szCs w:val="24"/>
                <w:bdr w:val="none" w:color="auto" w:sz="0" w:space="0"/>
              </w:rPr>
              <w:t>住房补助</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color w:val="333333"/>
              </w:rPr>
            </w:pPr>
            <w:r>
              <w:rPr>
                <w:rStyle w:val="5"/>
                <w:rFonts w:hint="eastAsia" w:ascii="仿宋" w:hAnsi="仿宋" w:eastAsia="仿宋" w:cs="仿宋"/>
                <w:i w:val="0"/>
                <w:caps w:val="0"/>
                <w:color w:val="333333"/>
                <w:spacing w:val="0"/>
                <w:sz w:val="24"/>
                <w:szCs w:val="24"/>
                <w:bdr w:val="none" w:color="auto" w:sz="0" w:space="0"/>
              </w:rPr>
              <w:t>科研启动金</w:t>
            </w:r>
          </w:p>
        </w:tc>
        <w:tc>
          <w:tcPr>
            <w:tcW w:w="16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color w:val="333333"/>
              </w:rPr>
            </w:pPr>
            <w:r>
              <w:rPr>
                <w:rStyle w:val="5"/>
                <w:rFonts w:hint="eastAsia" w:ascii="仿宋" w:hAnsi="仿宋" w:eastAsia="仿宋" w:cs="仿宋"/>
                <w:i w:val="0"/>
                <w:caps w:val="0"/>
                <w:color w:val="333333"/>
                <w:spacing w:val="0"/>
                <w:sz w:val="24"/>
                <w:szCs w:val="24"/>
                <w:bdr w:val="none" w:color="auto" w:sz="0" w:space="0"/>
              </w:rPr>
              <w:t>博士津贴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46" w:hRule="atLeast"/>
          <w:tblCellSpacing w:w="0" w:type="dxa"/>
        </w:trPr>
        <w:tc>
          <w:tcPr>
            <w:tcW w:w="118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color w:val="333333"/>
              </w:rPr>
            </w:pPr>
            <w:r>
              <w:rPr>
                <w:rFonts w:hint="eastAsia" w:ascii="仿宋" w:hAnsi="仿宋" w:eastAsia="仿宋" w:cs="仿宋"/>
                <w:i w:val="0"/>
                <w:caps w:val="0"/>
                <w:color w:val="333333"/>
                <w:spacing w:val="0"/>
                <w:sz w:val="24"/>
                <w:szCs w:val="24"/>
                <w:bdr w:val="none" w:color="auto" w:sz="0" w:space="0"/>
              </w:rPr>
              <w:t>第一层次</w:t>
            </w:r>
          </w:p>
        </w:tc>
        <w:tc>
          <w:tcPr>
            <w:tcW w:w="25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rPr>
                <w:color w:val="333333"/>
              </w:rPr>
            </w:pPr>
            <w:r>
              <w:rPr>
                <w:rFonts w:hint="eastAsia" w:ascii="仿宋" w:hAnsi="仿宋" w:eastAsia="仿宋" w:cs="仿宋"/>
                <w:i w:val="0"/>
                <w:caps w:val="0"/>
                <w:color w:val="333333"/>
                <w:spacing w:val="0"/>
                <w:sz w:val="24"/>
                <w:szCs w:val="24"/>
                <w:bdr w:val="none" w:color="auto" w:sz="0" w:space="0"/>
              </w:rPr>
              <w:t>教育部“长江学者”特聘教授（讲座教授）、国家自然科学基金杰出青年基金获得者或上述人才水平相当的高层次人才，包括在海外知名大学或科研机构长期工作、在专业领域取得公认杰出成就的海外专家学者。</w:t>
            </w:r>
          </w:p>
        </w:tc>
        <w:tc>
          <w:tcPr>
            <w:tcW w:w="15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color w:val="333333"/>
              </w:rPr>
            </w:pPr>
            <w:r>
              <w:rPr>
                <w:rFonts w:hint="eastAsia" w:ascii="仿宋" w:hAnsi="仿宋" w:eastAsia="仿宋" w:cs="仿宋"/>
                <w:i w:val="0"/>
                <w:caps w:val="0"/>
                <w:color w:val="333333"/>
                <w:spacing w:val="0"/>
                <w:sz w:val="24"/>
                <w:szCs w:val="24"/>
                <w:bdr w:val="none" w:color="auto" w:sz="0" w:space="0"/>
              </w:rPr>
              <w:t>面议</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color w:val="333333"/>
              </w:rPr>
            </w:pPr>
            <w:r>
              <w:rPr>
                <w:rFonts w:hint="eastAsia" w:ascii="仿宋" w:hAnsi="仿宋" w:eastAsia="仿宋" w:cs="仿宋"/>
                <w:i w:val="0"/>
                <w:caps w:val="0"/>
                <w:color w:val="333333"/>
                <w:spacing w:val="0"/>
                <w:sz w:val="24"/>
                <w:szCs w:val="24"/>
                <w:bdr w:val="none" w:color="auto" w:sz="0" w:space="0"/>
              </w:rPr>
              <w:t>面议</w:t>
            </w:r>
          </w:p>
        </w:tc>
        <w:tc>
          <w:tcPr>
            <w:tcW w:w="16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color w:val="333333"/>
              </w:rPr>
            </w:pPr>
            <w:r>
              <w:rPr>
                <w:rFonts w:hint="eastAsia" w:ascii="仿宋" w:hAnsi="仿宋" w:eastAsia="仿宋" w:cs="仿宋"/>
                <w:i w:val="0"/>
                <w:caps w:val="0"/>
                <w:color w:val="333333"/>
                <w:spacing w:val="0"/>
                <w:sz w:val="24"/>
                <w:szCs w:val="24"/>
                <w:bdr w:val="none" w:color="auto" w:sz="0" w:space="0"/>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41" w:hRule="atLeast"/>
          <w:tblCellSpacing w:w="0" w:type="dxa"/>
        </w:trPr>
        <w:tc>
          <w:tcPr>
            <w:tcW w:w="118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color w:val="333333"/>
              </w:rPr>
            </w:pPr>
            <w:r>
              <w:rPr>
                <w:rFonts w:hint="eastAsia" w:ascii="仿宋" w:hAnsi="仿宋" w:eastAsia="仿宋" w:cs="仿宋"/>
                <w:i w:val="0"/>
                <w:caps w:val="0"/>
                <w:color w:val="333333"/>
                <w:spacing w:val="0"/>
                <w:sz w:val="24"/>
                <w:szCs w:val="24"/>
                <w:bdr w:val="none" w:color="auto" w:sz="0" w:space="0"/>
              </w:rPr>
              <w:t>第二层次</w:t>
            </w:r>
          </w:p>
        </w:tc>
        <w:tc>
          <w:tcPr>
            <w:tcW w:w="25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rPr>
                <w:color w:val="333333"/>
              </w:rPr>
            </w:pPr>
            <w:r>
              <w:rPr>
                <w:rFonts w:hint="eastAsia" w:ascii="仿宋" w:hAnsi="仿宋" w:eastAsia="仿宋" w:cs="仿宋"/>
                <w:i w:val="0"/>
                <w:caps w:val="0"/>
                <w:color w:val="333333"/>
                <w:spacing w:val="0"/>
                <w:sz w:val="24"/>
                <w:szCs w:val="24"/>
                <w:bdr w:val="none" w:color="auto" w:sz="0" w:space="0"/>
              </w:rPr>
              <w:t>国家“新世纪优秀人才支持计划”人选、百千万人才工程国家级人选、国家自然科学基金优秀青年科学基金获得者、省级特聘教授（讲座教授）或与上述人才水平相当的高层次人才，包括在海外大学或科研机构工作、在专业领域取得突破成果的海外专家学者。</w:t>
            </w:r>
          </w:p>
        </w:tc>
        <w:tc>
          <w:tcPr>
            <w:tcW w:w="15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color w:val="333333"/>
              </w:rPr>
            </w:pPr>
            <w:r>
              <w:rPr>
                <w:rFonts w:hint="eastAsia" w:ascii="仿宋" w:hAnsi="仿宋" w:eastAsia="仿宋" w:cs="仿宋"/>
                <w:i w:val="0"/>
                <w:caps w:val="0"/>
                <w:color w:val="333333"/>
                <w:spacing w:val="0"/>
                <w:sz w:val="24"/>
                <w:szCs w:val="24"/>
                <w:bdr w:val="none" w:color="auto" w:sz="0" w:space="0"/>
                <w:lang w:val="en-US"/>
              </w:rPr>
              <w:t>50</w:t>
            </w:r>
            <w:r>
              <w:rPr>
                <w:rFonts w:hint="eastAsia" w:ascii="仿宋" w:hAnsi="仿宋" w:eastAsia="仿宋" w:cs="仿宋"/>
                <w:i w:val="0"/>
                <w:caps w:val="0"/>
                <w:color w:val="333333"/>
                <w:spacing w:val="0"/>
                <w:sz w:val="24"/>
                <w:szCs w:val="24"/>
                <w:bdr w:val="none" w:color="auto" w:sz="0" w:space="0"/>
              </w:rPr>
              <w:t>万（税后）</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color w:val="333333"/>
              </w:rPr>
            </w:pPr>
            <w:r>
              <w:rPr>
                <w:rFonts w:hint="eastAsia" w:ascii="仿宋" w:hAnsi="仿宋" w:eastAsia="仿宋" w:cs="仿宋"/>
                <w:i w:val="0"/>
                <w:caps w:val="0"/>
                <w:color w:val="333333"/>
                <w:spacing w:val="0"/>
                <w:sz w:val="24"/>
                <w:szCs w:val="24"/>
                <w:bdr w:val="none" w:color="auto" w:sz="0" w:space="0"/>
                <w:lang w:val="en-US"/>
              </w:rPr>
              <w:t>100</w:t>
            </w:r>
            <w:r>
              <w:rPr>
                <w:rFonts w:hint="eastAsia" w:ascii="仿宋" w:hAnsi="仿宋" w:eastAsia="仿宋" w:cs="仿宋"/>
                <w:i w:val="0"/>
                <w:caps w:val="0"/>
                <w:color w:val="333333"/>
                <w:spacing w:val="0"/>
                <w:sz w:val="24"/>
                <w:szCs w:val="24"/>
                <w:bdr w:val="none" w:color="auto" w:sz="0" w:space="0"/>
              </w:rPr>
              <w:t>万</w:t>
            </w:r>
          </w:p>
        </w:tc>
        <w:tc>
          <w:tcPr>
            <w:tcW w:w="16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color w:val="333333"/>
              </w:rPr>
            </w:pPr>
            <w:r>
              <w:rPr>
                <w:rFonts w:hint="eastAsia" w:ascii="仿宋" w:hAnsi="仿宋" w:eastAsia="仿宋" w:cs="仿宋"/>
                <w:i w:val="0"/>
                <w:caps w:val="0"/>
                <w:color w:val="333333"/>
                <w:spacing w:val="0"/>
                <w:sz w:val="24"/>
                <w:szCs w:val="24"/>
                <w:bdr w:val="none" w:color="auto" w:sz="0" w:space="0"/>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6" w:hRule="atLeast"/>
          <w:tblCellSpacing w:w="0" w:type="dxa"/>
        </w:trPr>
        <w:tc>
          <w:tcPr>
            <w:tcW w:w="118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color w:val="333333"/>
              </w:rPr>
            </w:pPr>
            <w:r>
              <w:rPr>
                <w:rFonts w:hint="eastAsia" w:ascii="仿宋" w:hAnsi="仿宋" w:eastAsia="仿宋" w:cs="仿宋"/>
                <w:i w:val="0"/>
                <w:caps w:val="0"/>
                <w:color w:val="333333"/>
                <w:spacing w:val="0"/>
                <w:sz w:val="24"/>
                <w:szCs w:val="24"/>
                <w:bdr w:val="none" w:color="auto" w:sz="0" w:space="0"/>
              </w:rPr>
              <w:t>第三层次</w:t>
            </w:r>
          </w:p>
        </w:tc>
        <w:tc>
          <w:tcPr>
            <w:tcW w:w="25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rPr>
                <w:color w:val="333333"/>
              </w:rPr>
            </w:pPr>
            <w:r>
              <w:rPr>
                <w:rFonts w:hint="eastAsia" w:ascii="仿宋" w:hAnsi="仿宋" w:eastAsia="仿宋" w:cs="仿宋"/>
                <w:i w:val="0"/>
                <w:caps w:val="0"/>
                <w:color w:val="333333"/>
                <w:spacing w:val="0"/>
                <w:sz w:val="24"/>
                <w:szCs w:val="24"/>
                <w:bdr w:val="none" w:color="auto" w:sz="0" w:space="0"/>
              </w:rPr>
              <w:t>在国内知名院校从事教学科研工作且有学科（科研团队）带头人工作经历或海外留学工作经历且发表过高水平科研论文，学术造诣深的专家学者或科研人员。</w:t>
            </w:r>
          </w:p>
        </w:tc>
        <w:tc>
          <w:tcPr>
            <w:tcW w:w="15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color w:val="333333"/>
              </w:rPr>
            </w:pPr>
            <w:r>
              <w:rPr>
                <w:rFonts w:hint="eastAsia" w:ascii="仿宋" w:hAnsi="仿宋" w:eastAsia="仿宋" w:cs="仿宋"/>
                <w:i w:val="0"/>
                <w:caps w:val="0"/>
                <w:color w:val="333333"/>
                <w:spacing w:val="0"/>
                <w:sz w:val="24"/>
                <w:szCs w:val="24"/>
                <w:bdr w:val="none" w:color="auto" w:sz="0" w:space="0"/>
                <w:lang w:val="en-US"/>
              </w:rPr>
              <w:t>20—30</w:t>
            </w:r>
            <w:r>
              <w:rPr>
                <w:rFonts w:hint="eastAsia" w:ascii="仿宋" w:hAnsi="仿宋" w:eastAsia="仿宋" w:cs="仿宋"/>
                <w:i w:val="0"/>
                <w:caps w:val="0"/>
                <w:color w:val="333333"/>
                <w:spacing w:val="0"/>
                <w:sz w:val="24"/>
                <w:szCs w:val="24"/>
                <w:bdr w:val="none" w:color="auto" w:sz="0" w:space="0"/>
              </w:rPr>
              <w:t>万（税后）</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color w:val="333333"/>
              </w:rPr>
            </w:pPr>
            <w:r>
              <w:rPr>
                <w:rFonts w:hint="eastAsia" w:ascii="仿宋" w:hAnsi="仿宋" w:eastAsia="仿宋" w:cs="仿宋"/>
                <w:i w:val="0"/>
                <w:caps w:val="0"/>
                <w:color w:val="333333"/>
                <w:spacing w:val="0"/>
                <w:sz w:val="24"/>
                <w:szCs w:val="24"/>
                <w:bdr w:val="none" w:color="auto" w:sz="0" w:space="0"/>
                <w:lang w:val="en-US"/>
              </w:rPr>
              <w:t>20</w:t>
            </w:r>
            <w:r>
              <w:rPr>
                <w:rFonts w:hint="eastAsia" w:ascii="仿宋" w:hAnsi="仿宋" w:eastAsia="仿宋" w:cs="仿宋"/>
                <w:i w:val="0"/>
                <w:caps w:val="0"/>
                <w:color w:val="333333"/>
                <w:spacing w:val="0"/>
                <w:sz w:val="24"/>
                <w:szCs w:val="24"/>
                <w:bdr w:val="none" w:color="auto" w:sz="0" w:space="0"/>
              </w:rPr>
              <w:t>万</w:t>
            </w:r>
          </w:p>
        </w:tc>
        <w:tc>
          <w:tcPr>
            <w:tcW w:w="16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color w:val="333333"/>
              </w:rPr>
            </w:pPr>
            <w:r>
              <w:rPr>
                <w:rFonts w:hint="eastAsia" w:ascii="仿宋" w:hAnsi="仿宋" w:eastAsia="仿宋" w:cs="仿宋"/>
                <w:i w:val="0"/>
                <w:caps w:val="0"/>
                <w:color w:val="333333"/>
                <w:spacing w:val="0"/>
                <w:sz w:val="24"/>
                <w:szCs w:val="24"/>
                <w:bdr w:val="none" w:color="auto" w:sz="0" w:space="0"/>
              </w:rPr>
              <w:t>约</w:t>
            </w:r>
            <w:r>
              <w:rPr>
                <w:rFonts w:hint="eastAsia" w:ascii="仿宋" w:hAnsi="仿宋" w:eastAsia="仿宋" w:cs="仿宋"/>
                <w:i w:val="0"/>
                <w:caps w:val="0"/>
                <w:color w:val="333333"/>
                <w:spacing w:val="0"/>
                <w:sz w:val="24"/>
                <w:szCs w:val="24"/>
                <w:bdr w:val="none" w:color="auto" w:sz="0" w:space="0"/>
                <w:lang w:val="en-US"/>
              </w:rPr>
              <w:t>3000</w:t>
            </w:r>
            <w:r>
              <w:rPr>
                <w:rFonts w:hint="eastAsia" w:ascii="仿宋" w:hAnsi="仿宋" w:eastAsia="仿宋" w:cs="仿宋"/>
                <w:i w:val="0"/>
                <w:caps w:val="0"/>
                <w:color w:val="333333"/>
                <w:spacing w:val="0"/>
                <w:sz w:val="24"/>
                <w:szCs w:val="24"/>
                <w:bdr w:val="none" w:color="auto" w:sz="0" w:space="0"/>
              </w:rPr>
              <w:t>元</w:t>
            </w:r>
            <w:r>
              <w:rPr>
                <w:rFonts w:hint="eastAsia" w:ascii="仿宋" w:hAnsi="仿宋" w:eastAsia="仿宋" w:cs="仿宋"/>
                <w:i w:val="0"/>
                <w:caps w:val="0"/>
                <w:color w:val="333333"/>
                <w:spacing w:val="0"/>
                <w:sz w:val="24"/>
                <w:szCs w:val="24"/>
                <w:bdr w:val="none" w:color="auto" w:sz="0" w:space="0"/>
                <w:lang w:val="en-US"/>
              </w:rPr>
              <w:t>/</w:t>
            </w:r>
            <w:r>
              <w:rPr>
                <w:rFonts w:hint="eastAsia" w:ascii="仿宋" w:hAnsi="仿宋" w:eastAsia="仿宋" w:cs="仿宋"/>
                <w:i w:val="0"/>
                <w:caps w:val="0"/>
                <w:color w:val="333333"/>
                <w:spacing w:val="0"/>
                <w:sz w:val="24"/>
                <w:szCs w:val="24"/>
                <w:bdr w:val="none" w:color="auto" w:sz="0" w:space="0"/>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61" w:hRule="atLeast"/>
          <w:tblCellSpacing w:w="0" w:type="dxa"/>
        </w:trPr>
        <w:tc>
          <w:tcPr>
            <w:tcW w:w="118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color w:val="333333"/>
              </w:rPr>
            </w:pPr>
            <w:r>
              <w:rPr>
                <w:rFonts w:hint="eastAsia" w:ascii="仿宋" w:hAnsi="仿宋" w:eastAsia="仿宋" w:cs="仿宋"/>
                <w:i w:val="0"/>
                <w:caps w:val="0"/>
                <w:color w:val="333333"/>
                <w:spacing w:val="0"/>
                <w:sz w:val="24"/>
                <w:szCs w:val="24"/>
                <w:bdr w:val="none" w:color="auto" w:sz="0" w:space="0"/>
              </w:rPr>
              <w:t>第四层次</w:t>
            </w:r>
          </w:p>
        </w:tc>
        <w:tc>
          <w:tcPr>
            <w:tcW w:w="25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rPr>
                <w:color w:val="333333"/>
              </w:rPr>
            </w:pPr>
            <w:r>
              <w:rPr>
                <w:rFonts w:hint="eastAsia" w:ascii="仿宋" w:hAnsi="仿宋" w:eastAsia="仿宋" w:cs="仿宋"/>
                <w:i w:val="0"/>
                <w:caps w:val="0"/>
                <w:color w:val="333333"/>
                <w:spacing w:val="0"/>
                <w:sz w:val="24"/>
                <w:szCs w:val="24"/>
                <w:bdr w:val="none" w:color="auto" w:sz="0" w:space="0"/>
              </w:rPr>
              <w:t>博士学位，原则上年龄在</w:t>
            </w:r>
            <w:r>
              <w:rPr>
                <w:rFonts w:hint="eastAsia" w:ascii="仿宋" w:hAnsi="仿宋" w:eastAsia="仿宋" w:cs="仿宋"/>
                <w:i w:val="0"/>
                <w:caps w:val="0"/>
                <w:color w:val="333333"/>
                <w:spacing w:val="0"/>
                <w:sz w:val="24"/>
                <w:szCs w:val="24"/>
                <w:bdr w:val="none" w:color="auto" w:sz="0" w:space="0"/>
                <w:lang w:val="en-US"/>
              </w:rPr>
              <w:t>45</w:t>
            </w:r>
            <w:r>
              <w:rPr>
                <w:rFonts w:hint="eastAsia" w:ascii="仿宋" w:hAnsi="仿宋" w:eastAsia="仿宋" w:cs="仿宋"/>
                <w:i w:val="0"/>
                <w:caps w:val="0"/>
                <w:color w:val="333333"/>
                <w:spacing w:val="0"/>
                <w:sz w:val="24"/>
                <w:szCs w:val="24"/>
                <w:bdr w:val="none" w:color="auto" w:sz="0" w:space="0"/>
              </w:rPr>
              <w:t>周岁及以下，胜任本学科主干课程讲授工作的或具有较强的科研能力的人员。</w:t>
            </w:r>
          </w:p>
        </w:tc>
        <w:tc>
          <w:tcPr>
            <w:tcW w:w="15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color w:val="333333"/>
              </w:rPr>
            </w:pPr>
            <w:r>
              <w:rPr>
                <w:rFonts w:hint="eastAsia" w:ascii="仿宋" w:hAnsi="仿宋" w:eastAsia="仿宋" w:cs="仿宋"/>
                <w:i w:val="0"/>
                <w:caps w:val="0"/>
                <w:color w:val="333333"/>
                <w:spacing w:val="0"/>
                <w:sz w:val="24"/>
                <w:szCs w:val="24"/>
                <w:bdr w:val="none" w:color="auto" w:sz="0" w:space="0"/>
                <w:lang w:val="en-US"/>
              </w:rPr>
              <w:t>15—20</w:t>
            </w:r>
            <w:r>
              <w:rPr>
                <w:rFonts w:hint="eastAsia" w:ascii="仿宋" w:hAnsi="仿宋" w:eastAsia="仿宋" w:cs="仿宋"/>
                <w:i w:val="0"/>
                <w:caps w:val="0"/>
                <w:color w:val="333333"/>
                <w:spacing w:val="0"/>
                <w:sz w:val="24"/>
                <w:szCs w:val="24"/>
                <w:bdr w:val="none" w:color="auto" w:sz="0" w:space="0"/>
              </w:rPr>
              <w:t>万（税后）</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color w:val="333333"/>
              </w:rPr>
            </w:pPr>
            <w:r>
              <w:rPr>
                <w:rFonts w:hint="eastAsia" w:ascii="仿宋" w:hAnsi="仿宋" w:eastAsia="仿宋" w:cs="仿宋"/>
                <w:i w:val="0"/>
                <w:caps w:val="0"/>
                <w:color w:val="333333"/>
                <w:spacing w:val="0"/>
                <w:sz w:val="24"/>
                <w:szCs w:val="24"/>
                <w:bdr w:val="none" w:color="auto" w:sz="0" w:space="0"/>
                <w:lang w:val="en-US"/>
              </w:rPr>
              <w:t>20</w:t>
            </w:r>
            <w:r>
              <w:rPr>
                <w:rFonts w:hint="eastAsia" w:ascii="仿宋" w:hAnsi="仿宋" w:eastAsia="仿宋" w:cs="仿宋"/>
                <w:i w:val="0"/>
                <w:caps w:val="0"/>
                <w:color w:val="333333"/>
                <w:spacing w:val="0"/>
                <w:sz w:val="24"/>
                <w:szCs w:val="24"/>
                <w:bdr w:val="none" w:color="auto" w:sz="0" w:space="0"/>
              </w:rPr>
              <w:t>万</w:t>
            </w:r>
          </w:p>
        </w:tc>
        <w:tc>
          <w:tcPr>
            <w:tcW w:w="162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color w:val="333333"/>
              </w:rPr>
            </w:pPr>
            <w:r>
              <w:rPr>
                <w:rFonts w:hint="eastAsia" w:ascii="仿宋" w:hAnsi="仿宋" w:eastAsia="仿宋" w:cs="仿宋"/>
                <w:i w:val="0"/>
                <w:caps w:val="0"/>
                <w:color w:val="333333"/>
                <w:spacing w:val="0"/>
                <w:sz w:val="24"/>
                <w:szCs w:val="24"/>
                <w:bdr w:val="none" w:color="auto" w:sz="0" w:space="0"/>
              </w:rPr>
              <w:t>约</w:t>
            </w:r>
            <w:r>
              <w:rPr>
                <w:rFonts w:hint="eastAsia" w:ascii="仿宋" w:hAnsi="仿宋" w:eastAsia="仿宋" w:cs="仿宋"/>
                <w:i w:val="0"/>
                <w:caps w:val="0"/>
                <w:color w:val="333333"/>
                <w:spacing w:val="0"/>
                <w:sz w:val="24"/>
                <w:szCs w:val="24"/>
                <w:bdr w:val="none" w:color="auto" w:sz="0" w:space="0"/>
                <w:lang w:val="en-US"/>
              </w:rPr>
              <w:t>3000</w:t>
            </w:r>
            <w:r>
              <w:rPr>
                <w:rFonts w:hint="eastAsia" w:ascii="仿宋" w:hAnsi="仿宋" w:eastAsia="仿宋" w:cs="仿宋"/>
                <w:i w:val="0"/>
                <w:caps w:val="0"/>
                <w:color w:val="333333"/>
                <w:spacing w:val="0"/>
                <w:sz w:val="24"/>
                <w:szCs w:val="24"/>
                <w:bdr w:val="none" w:color="auto" w:sz="0" w:space="0"/>
              </w:rPr>
              <w:t>元</w:t>
            </w:r>
            <w:r>
              <w:rPr>
                <w:rFonts w:hint="eastAsia" w:ascii="仿宋" w:hAnsi="仿宋" w:eastAsia="仿宋" w:cs="仿宋"/>
                <w:i w:val="0"/>
                <w:caps w:val="0"/>
                <w:color w:val="333333"/>
                <w:spacing w:val="0"/>
                <w:sz w:val="24"/>
                <w:szCs w:val="24"/>
                <w:bdr w:val="none" w:color="auto" w:sz="0" w:space="0"/>
                <w:lang w:val="en-US"/>
              </w:rPr>
              <w:t>/</w:t>
            </w:r>
            <w:r>
              <w:rPr>
                <w:rFonts w:hint="eastAsia" w:ascii="仿宋" w:hAnsi="仿宋" w:eastAsia="仿宋" w:cs="仿宋"/>
                <w:i w:val="0"/>
                <w:caps w:val="0"/>
                <w:color w:val="333333"/>
                <w:spacing w:val="0"/>
                <w:sz w:val="24"/>
                <w:szCs w:val="24"/>
                <w:bdr w:val="none" w:color="auto" w:sz="0" w:space="0"/>
              </w:rPr>
              <w:t>月</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p>
    <w:p>
      <w:pPr>
        <w:keepNext w:val="0"/>
        <w:keepLines w:val="0"/>
        <w:widowControl/>
        <w:suppressLineNumbers w:val="0"/>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2C4AB9"/>
    <w:rsid w:val="542C4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2021-01-18T02:33:00Z</dcterms:created>
  <dc:creator>Administrator</dc:creator>
  <cp:lastModifiedBy>Administrator</cp:lastModifiedBy>
  <dcterms:modified xsi:type="dcterms:W3CDTF">2021-01-18T08:10:53Z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