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  <w:shd w:val="clear" w:fill="FFFFFF"/>
        </w:rPr>
        <w:t>人才类别及待遇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2492"/>
        <w:gridCol w:w="1653"/>
        <w:gridCol w:w="1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人才类别</w:t>
            </w:r>
          </w:p>
        </w:tc>
        <w:tc>
          <w:tcPr>
            <w:tcW w:w="249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一次性工作生活补贴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（税后）</w:t>
            </w:r>
          </w:p>
        </w:tc>
        <w:tc>
          <w:tcPr>
            <w:tcW w:w="31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科研启动费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自然科学类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人文社科类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学术带头人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30万元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50万元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学科骨干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20万元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30万元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10万元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15万元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10万元</w:t>
            </w:r>
          </w:p>
        </w:tc>
      </w:tr>
    </w:tbl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92C4C"/>
    <w:rsid w:val="3CF92C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2021-01-25T08:43:00Z</dcterms:created>
  <dc:creator>WPS_1609033458</dc:creator>
  <cp:lastModifiedBy>WPS_1609033458</cp:lastModifiedBy>
  <dcterms:modified xsi:type="dcterms:W3CDTF">2021-01-25T08:43:53Z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