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钟山区残疾人联合会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人才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引进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报名表</w:t>
      </w:r>
    </w:p>
    <w:p>
      <w:pPr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eastAsia="楷体_GB2312"/>
          <w:bCs/>
          <w:sz w:val="28"/>
          <w:szCs w:val="28"/>
        </w:rPr>
        <w:t>报考岗位：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特长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专业技术职称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07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bookmarkStart w:id="0" w:name="_GoBack" w:colFirst="0" w:colLast="1"/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2087046C"/>
    <w:rsid w:val="2DF362B8"/>
    <w:rsid w:val="41A03E24"/>
    <w:rsid w:val="43F62ECA"/>
    <w:rsid w:val="53870A21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91</Words>
  <Characters>524</Characters>
  <Lines>4</Lines>
  <Paragraphs>1</Paragraphs>
  <TotalTime>11</TotalTime>
  <ScaleCrop>false</ScaleCrop>
  <LinksUpToDate>false</LinksUpToDate>
  <CharactersWithSpaces>614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2020-05-06T03:16:00Z</dcterms:created>
  <dc:creator>Administrator</dc:creator>
  <cp:lastModifiedBy>夜痕夕</cp:lastModifiedBy>
  <cp:lastPrinted>2020-05-06T03:15:00Z</cp:lastPrinted>
  <dcterms:modified xsi:type="dcterms:W3CDTF">2021-01-26T08:04:57Z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