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rPr>
          <w:rFonts w:hint="eastAsia"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0"/>
          <w:szCs w:val="30"/>
        </w:rPr>
        <w:t>：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2021年固镇县博物馆公开招聘免费开放岗位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劳务派遣工作人员</w:t>
      </w:r>
      <w:r>
        <w:rPr>
          <w:rFonts w:hint="eastAsia" w:ascii="黑体" w:hAnsi="黑体" w:eastAsia="黑体"/>
          <w:sz w:val="32"/>
          <w:szCs w:val="32"/>
        </w:rPr>
        <w:t>岗位计划表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709"/>
        <w:gridCol w:w="569"/>
        <w:gridCol w:w="680"/>
        <w:gridCol w:w="1991"/>
        <w:gridCol w:w="2018"/>
        <w:gridCol w:w="1650"/>
        <w:gridCol w:w="3845"/>
        <w:gridCol w:w="1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5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11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 业</w:t>
            </w:r>
          </w:p>
        </w:tc>
        <w:tc>
          <w:tcPr>
            <w:tcW w:w="2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 龄</w:t>
            </w:r>
          </w:p>
        </w:tc>
        <w:tc>
          <w:tcPr>
            <w:tcW w:w="3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1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博物馆讲解员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99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201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女性身高1.60米以上，男性身高1.70米以上，要求普通话二级乙等以上证书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博物馆安全保卫人员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高中、中专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退伍军人可放宽到</w:t>
            </w: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</w:rPr>
              <w:t>周岁</w:t>
            </w: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  <w:lang w:eastAsia="zh-CN"/>
              </w:rPr>
              <w:t>，有博物馆工作经验的可放宽到</w:t>
            </w:r>
            <w:r>
              <w:rPr>
                <w:rFonts w:hint="eastAsia" w:ascii="仿宋_GB2312" w:hAnsi="_4eff_5b8b" w:eastAsia="仿宋_GB2312" w:cs="宋体"/>
                <w:kern w:val="0"/>
                <w:sz w:val="24"/>
                <w:szCs w:val="24"/>
                <w:lang w:val="en-US" w:eastAsia="zh-CN"/>
              </w:rPr>
              <w:t>40周岁。</w:t>
            </w:r>
          </w:p>
        </w:tc>
        <w:tc>
          <w:tcPr>
            <w:tcW w:w="11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81727"/>
    <w:rsid w:val="3BAC53C9"/>
    <w:rsid w:val="6898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2021-02-10T02:08:00Z</dcterms:created>
  <dc:creator>江左</dc:creator>
  <cp:lastModifiedBy>江左</cp:lastModifiedBy>
  <dcterms:modified xsi:type="dcterms:W3CDTF">2021-02-10T02:10:50Z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