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3"/>
        <w:gridCol w:w="808"/>
        <w:gridCol w:w="1395"/>
        <w:gridCol w:w="651"/>
        <w:gridCol w:w="861"/>
        <w:gridCol w:w="1381"/>
        <w:gridCol w:w="4148"/>
        <w:gridCol w:w="44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bookmarkStart w:id="0" w:name="_GoBack"/>
            <w:r>
              <w:rPr>
                <w:rFonts w:ascii="宋体" w:hAnsi="宋体" w:eastAsia="宋体" w:cs="宋体"/>
                <w:color w:val="333333"/>
                <w:kern w:val="0"/>
                <w:sz w:val="24"/>
                <w:szCs w:val="24"/>
                <w:bdr w:val="none" w:color="auto" w:sz="0" w:space="0"/>
                <w:lang w:val="en-US" w:eastAsia="zh-CN" w:bidi="ar"/>
              </w:rPr>
              <w:t>序号</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合作</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导师</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创新团队</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拟招人数</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一级</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学科</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研究方向</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研究内容</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Fonts w:ascii="宋体" w:hAnsi="宋体" w:eastAsia="宋体" w:cs="宋体"/>
                <w:color w:val="333333"/>
                <w:kern w:val="0"/>
                <w:sz w:val="24"/>
                <w:szCs w:val="24"/>
                <w:bdr w:val="none" w:color="auto" w:sz="0" w:space="0"/>
                <w:lang w:val="en-US" w:eastAsia="zh-CN" w:bidi="ar"/>
              </w:rPr>
              <w:t>联系人及联系方式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杨庆文</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水稻优异种质资源发掘与创新利用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野生稻重要基因克隆与功能解析</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利用已构建的染色体置换系，发掘野生稻重要农艺性状相关基因，并进行克隆，解析其作用机理及其功能</w:t>
            </w:r>
          </w:p>
        </w:tc>
        <w:tc>
          <w:tcPr>
            <w:tcW w:w="1578" w:type="pct"/>
            <w:vMerge w:val="restart"/>
            <w:tcBorders>
              <w:top w:val="outset" w:color="auto" w:sz="6" w:space="0"/>
              <w:left w:val="outset" w:color="auto" w:sz="6" w:space="0"/>
              <w:bottom w:val="single" w:color="000000" w:sz="4"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杨庆文：010-62189165；yangqingwen@caas.cn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合作导师信息：http://booking.icscaas.com.cn/cv/sp/yivJKg41.html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9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杨庆文</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水稻优异种质资源发掘与创新利用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遗传多样性指标构建及其应用</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针对栽培和野生种质资源的多样性状况，进行遗传多样性指标体系的构建，明确多样性指标在种质资源保护中的地位，指导水稻和野生稻种质资源的保护与利用</w:t>
            </w:r>
          </w:p>
        </w:tc>
        <w:tc>
          <w:tcPr>
            <w:tcW w:w="1578" w:type="pct"/>
            <w:vMerge w:val="continue"/>
            <w:tcBorders>
              <w:top w:val="outset" w:color="auto" w:sz="6" w:space="0"/>
              <w:left w:val="outset" w:color="auto" w:sz="6" w:space="0"/>
              <w:bottom w:val="single" w:color="000000" w:sz="4" w:space="0"/>
              <w:right w:val="outset" w:color="auto" w:sz="6" w:space="0"/>
            </w:tcBorders>
            <w:shd w:val="clear"/>
            <w:vAlign w:val="center"/>
          </w:tcPr>
          <w:p>
            <w:pPr>
              <w:rPr>
                <w:rFonts w:hint="eastAsia" w:ascii="宋体"/>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1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邱丽娟</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大豆优异基因资源发掘与创新利用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作物基因编辑及分子育种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利用遗传转化平台开发快速基因编辑的方法</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邱丽娟：010-82105840；qiulijuan@caas.cn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http://booking.icscaas.com.cn/cv/sp/Agx68g43.html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2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4</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周美亮</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特色农作物优异种质资源发掘与创新利用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荞麦种质资源与遗传改良</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利用荞麦属植物已经构建好的基因组和表型组平台，开展遗传驯化、品质形成和逆境胁迫等分子机制解析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周美亮：010-82106368；zhoumeiliang@caas.cn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http://booking.icscaas.com.cn/cv/sp/3WRkc084.html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5</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马有志</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作物转基因及基因编辑技术与应用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分子生物学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大豆乙烯受体介导的信号通路解析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陈明：010-82108750；chenming02@caas.cn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http://booking.icscaas.com.cn/cv/sp/5BEpEe12.html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5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6</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王文生</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水稻分子设计技术与应用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水稻抗逆宜直播优异种质资源创制和遗传调控网络解析</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1.基于3000份水稻种质资源筛选抗逆、宜直播的优异种质资源；</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2.水稻抗逆和宜直播基因的克隆和分子调控网络解析；</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3.利用分子智能设计技术创制抗逆宜直播优异新种质</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王文生：010-82106694；wangwensheng02@caas.cn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http://booking.icscaas.com.cn/cv/sp/6PcaBw260.html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7</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王建康</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应用数量遗传/植物育种方法</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各类群体的基因型和表型数据的有效遗传分析方法、杂交组合表现的预测方法、基因信息的育种利用途径研究、育种设计与育种预测的方法和工具研发</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王建康；010-82105846，13718971708；</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wangjiankang@caas.cn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http://booking.icscaas.com.cn/cv/sp/jy7Hwb51.html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8</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王春连</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作物生物信息及利用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基因编辑技术与作物遗传改良</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基因编辑技术在水稻抗病等性状改良上的应用</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赵开军：010-82105852；zhaokaijun@caas.cn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http://booking.icscaas.com.cn/cv/sp/qTsySR13.html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3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9</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毛龙</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小麦功能基因组学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小麦产量性状相关基因的克隆和功能验证</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高永鹤：18910153973</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http://booking.icscaas.com.cn/cv/sp/wjynmv5.html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3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10</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孔秀英</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小麦基因资源发掘与利用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小麦基因组</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小麦基因组及泛基因组研究</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孔秀英：010-82105828；</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kongxiuying@caas.cn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http://booking.icscaas.com.cn/cv/sp/RqZSXH106.html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9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11</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刘旭</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小麦基因资源发掘与利用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新基因挖掘</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小麦高产高抗关键基因克隆与分子机理解析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张立超；010-82105828</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zhanglichao@caas.cn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http://www.icscaas.com.cn/rctd/ys/95995.htm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01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刘君</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重大平台中心</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生物信息学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围绕作物学科重要问题和关键技术，基于重大平台中心计算服务器系统，开发生物信息学工具，优化分析流程，为行业内提供具有竞争力的生物技术解决方案。候选人应具有基因组范围高通量基因编辑sgRNA序列分析、靶点和脱靶效应分析的经验。</w:t>
            </w:r>
          </w:p>
        </w:tc>
        <w:tc>
          <w:tcPr>
            <w:tcW w:w="1578" w:type="pct"/>
            <w:vMerge w:val="restart"/>
            <w:tcBorders>
              <w:top w:val="outset" w:color="auto" w:sz="6" w:space="0"/>
              <w:left w:val="outset" w:color="auto" w:sz="6" w:space="0"/>
              <w:bottom w:val="single" w:color="000000" w:sz="4"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张丽娜：010-82105825：zhanglina@caas.cn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http://booking.icscaas.com.cn/cv/sp/8FwJ9A73.html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5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13</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刘君</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重大平台中心</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分子生物学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围绕作物学科重要问题和关键技术，基于重大平台中心各类质谱、光谱类大型仪器设备，优化检测流程，提升检测性能，实现特异化检测服务，为业内提供竞争力较强的技术服务支撑。具有分析化学背景的人员优先。</w:t>
            </w:r>
          </w:p>
        </w:tc>
        <w:tc>
          <w:tcPr>
            <w:tcW w:w="1578" w:type="pct"/>
            <w:vMerge w:val="continue"/>
            <w:tcBorders>
              <w:top w:val="outset" w:color="auto" w:sz="6" w:space="0"/>
              <w:left w:val="outset" w:color="auto" w:sz="6" w:space="0"/>
              <w:bottom w:val="single" w:color="000000" w:sz="4" w:space="0"/>
              <w:right w:val="outset" w:color="auto" w:sz="6" w:space="0"/>
            </w:tcBorders>
            <w:shd w:val="clear"/>
            <w:vAlign w:val="center"/>
          </w:tcPr>
          <w:p>
            <w:pPr>
              <w:rPr>
                <w:rFonts w:hint="eastAsia" w:ascii="宋体"/>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1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14</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刘君</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重大平台中心</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生物物理学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围绕作物学科重要问题和关键技术，基于重大平台中心扫描电镜、透射电镜、激光共聚焦荧光显微镜等电镜和光镜类大型仪器设备，优化检测流程，提升检测性能，为业内提供竞争力较强的技术服务支撑。</w:t>
            </w:r>
          </w:p>
        </w:tc>
        <w:tc>
          <w:tcPr>
            <w:tcW w:w="1578" w:type="pct"/>
            <w:vMerge w:val="continue"/>
            <w:tcBorders>
              <w:top w:val="outset" w:color="auto" w:sz="6" w:space="0"/>
              <w:left w:val="outset" w:color="auto" w:sz="6" w:space="0"/>
              <w:bottom w:val="single" w:color="000000" w:sz="4" w:space="0"/>
              <w:right w:val="outset" w:color="auto" w:sz="6" w:space="0"/>
            </w:tcBorders>
            <w:shd w:val="clear"/>
            <w:vAlign w:val="center"/>
          </w:tcPr>
          <w:p>
            <w:pPr>
              <w:rPr>
                <w:rFonts w:hint="eastAsia" w:ascii="宋体"/>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15</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刘斌</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作物生物信息学及应用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大豆光生物学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克隆参与大豆光信号转导通路的关键基因，验证其功能，解析光环境调控大豆生长发育的分子调控网络。</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刘斌：010-82108435；liubin05@caas.cn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http://booking.icscaas.com.cn/cv/sp/RgCdW750.html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16</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孙加强</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小麦基因资源发掘与利用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小麦分子遗传学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小麦产量与抗逆基因挖掘与功能解析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孙加强：010-82107842；sunjiaqiang@caas.cn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http://booking.icscaas.com.cn/cv/sp/HtsvzM4.html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17</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李学勇</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作物功能基因组</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水稻分子育种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水稻株型基因克隆与功能解析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李学勇：010-82107409; lixueyong@caas.cn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http://booking.icscaas.com.cn/cv/sp/a0xRwZ10.html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7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18</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李慧慧</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作物生物信息学及应用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生物信息学</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基于人工智能的全基因组选择育种预测算法开发和模型构建</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李慧慧： lihuihui@caas.cn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http://booking.icscaas.com.cn/cv/sp/2KWz2w165.html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19</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赵开军</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作物生物信息学及应用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作物抗病基因的克隆与功能解析</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水稻抗白叶枯病基因的克隆与功能解析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赵开军：010-82105852；zhaokaijun@caas.cn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http://booking.icscaas.com.cn/cv/sp/qTsySR13.html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20</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侯文胜</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大豆育种技术创新与新品种选育</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大豆基因编辑技术与新材料创制</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研发大豆基因编辑技术，创制有育种应用价值的基因编辑新材料</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侯文胜：01082105172；houwensheng@caas.cn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http://booking.icscaas.com.cn/cv/sp/2spf3p62.html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21</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徐建龙</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水稻分子设计技术与应用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水稻功能有利基因挖掘</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利用基因组、转录组等多组学方法解析水稻苗期耐盐、耐低温的功能基因，挖掘优异等位基因，阐明基因的分子调控机制。</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徐建龙：010-82105856；xujianlong@caas.cn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http://booking.icscaas.com.cn/cv/sp/MYlw1972.html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22</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玉米分子育种研究组</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 </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玉米分子育种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玉米抗病性挖掘与分子育种</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王山荭：010-82105799； wangshanhong@caas.cn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23</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刘录祥</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小麦育种新技术及应用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小麦分子突变育种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小麦产量/品质特色突变体优异新基因挖掘与作用机制解析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郭会君：010-82108575; guohuijun@caas.cn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http://booking.icscaas.com.cn/cv/sp/dqhy6h22.html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24</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孙君明</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大豆育种技术创新与新品种选育</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大豆分子育种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大豆营养品质性状遗传基础解析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孙君明；010-82105805；sunjunming@caas.cn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http://booking.icscaas.com.cn/cv/sp/67QqXU55.html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25</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孙果忠</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小麦育种新技术及应用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小麦重要性状新基因的定位与功能解析</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1.小麦苗期株型与抗寒性基因的精细定位和功能解析</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2.小麦抗穗发芽基因精细定位和功能解析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孙老师：010-82107463；sunguozhong@caas.cn；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http://booking.icscaas.com.cn/cv/sp/5PHp7r75.html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4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26</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李文学</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作物分子育种技术和应用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玉米抗倒伏机制的解析与应用</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以玉米自然群体为研究材料，筛选在田间条件下极端抗倒伏和易倒伏的自交系，通过RNA-seq和转基因技术，结合GWAS分析，挖掘参与玉米抗倒伏的候选基因，并进行基因克隆和分子作用机制解析。</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李文学：010-82105799；liwenxue@caas.cn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http://booking.icscaas.com.cn/cv/sp/CRZ3ws76.html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63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27</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李桂英</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作物分子育种技术与应用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1.高粱品种生态适应性评价与布局；</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2.高粱品种-环境-栽培措施的互作机理</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根据气候环境、品种适应性及种植制度的变化，优化生态区划和品种筛选试验区域网络；建立生长模型，阐明品种与生态类型的互作关系；结合多年光、温、水、土、灾害数据，建立生态适应性评价标准和品种布局体系；完善生态区划，制定品质区划。</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基于主产区光温水资源与土壤养分特征，以及区域代表性品种的产量、品质形成特点，探索水分、密度、施肥、播种期等栽培措施对产量、品质形成的调控效果，明确品种-环境-栽培措施之间的互作关系，揭示其生理机制及优质、高产调控途径。</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李桂英：010-82108601；liguiying@caas.cn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http://booking.icscaas.com.cn/cv/sp/M0w6k556.html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28</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韩天富</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大豆育种技术创新与新品种选育</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大豆分子育种</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大豆光温适应性改良的分子基础</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韩天富：13671280739；hantianfu@caas.cn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http://booking.icscaas.com.cn/cv/sp/YXNGXl9.html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25"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29</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谢传晓</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玉米分子育种技术与应用</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基因编辑技术</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基因编辑技术体系的优化与育种应用</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谢传晓：010-82107464；xiechuanxiao@caas.cn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http://booking.icscaas.com.cn/cv/sp/Xf1meJ61.html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30</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黎亮</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玉米遗传改良与新品种选育</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玉米育种方法</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组学时代整合DH和GS的育种方案研究</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黎亮：liliang05@caas.cn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31</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王克如</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作物栽培与生理</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作物生长遥感监测及诊断</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农学参数遥感定量反演以及作物生长监测理论与技术</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明博：010-82105791；mingbo@caas.cn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http://booking.icscaas.com.cn/cv/sp/0Md7JP172.html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32</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李少昆</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作物栽培与生理</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玉米高产与资源高效利用</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玉米高产与品质形成的关系与调控方法研究</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明博：010-82105791；mingbo@caas.cn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http://booking.icscaas.com.cn/cv/sp/8esZbw58.html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26"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33</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张卫建</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作物耕作与生态</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耕作制度与农田生态</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以稻田生态系统为重点，开展作物丰产优质与资源高效利用及低碳排放的耕作技术及模式研究，阐明不同耕作措施对稻田生态的影响机制和调控途径，创建稻田绿色耕作技术体系</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张卫建：010-62156856；zhangweijian@caas.cn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http://booking.icscaas.com.cn/cv/sp/MuKHel59.html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7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34</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金秀良</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作物栽培与生理</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作物表型与精准农业</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1.作物表型多源影像数据处理与分析</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2.光学传感器与田间可移动平台的综合研发</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金秀良：010-82105097；15611669703; jinxiuliang@caas.cn;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http://booking.icscaas.com.cn/cv/sp/MNTcWs153.html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35</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周文彬</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作物耕作与生态</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作物栽培生理</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作物高产栽培的生理机制/作物产量模型模拟</w:t>
            </w:r>
          </w:p>
        </w:tc>
        <w:tc>
          <w:tcPr>
            <w:tcW w:w="1578" w:type="pct"/>
            <w:vMerge w:val="restart"/>
            <w:tcBorders>
              <w:top w:val="outset" w:color="auto" w:sz="6" w:space="0"/>
              <w:left w:val="outset" w:color="auto" w:sz="6" w:space="0"/>
              <w:bottom w:val="single" w:color="000000" w:sz="4"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周文彬：010-82108609; zhouwenbin@caas.cn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http://booking.icscaas.com.cn/cv/sp/Z87zCp26.html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0"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36</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周文彬</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作物耕作与生态</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光合生理</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水稻光氮协同的光合生理与分子机制</w:t>
            </w:r>
          </w:p>
        </w:tc>
        <w:tc>
          <w:tcPr>
            <w:tcW w:w="1578" w:type="pct"/>
            <w:vMerge w:val="continue"/>
            <w:tcBorders>
              <w:top w:val="outset" w:color="auto" w:sz="6" w:space="0"/>
              <w:left w:val="outset" w:color="auto" w:sz="6" w:space="0"/>
              <w:bottom w:val="single" w:color="000000" w:sz="4" w:space="0"/>
              <w:right w:val="outset" w:color="auto" w:sz="6" w:space="0"/>
            </w:tcBorders>
            <w:shd w:val="clear"/>
            <w:vAlign w:val="center"/>
          </w:tcPr>
          <w:p>
            <w:pPr>
              <w:rPr>
                <w:rFonts w:hint="eastAsia" w:ascii="宋体"/>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7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37</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徐江</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作物耕作与生态</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作物生理</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以玉米或水稻为材料，综合运用作物生理、生化与分子生物学研究手段，并结合多组学分析技术，研究作物高产高效相关的生理与分子代谢过程，解析与光合碳同化、籽粒灌浆和氮素吸收同化相关的生理生化及分子调控机制。</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徐江：010-82106043；jiangxu_xj@163.com</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http://booking.icscaas.com.cn/cv/sp/nST2tY191.html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21" w:hRule="atLeast"/>
        </w:trPr>
        <w:tc>
          <w:tcPr>
            <w:tcW w:w="11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38</w:t>
            </w:r>
          </w:p>
        </w:tc>
        <w:tc>
          <w:tcPr>
            <w:tcW w:w="28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董志强</w:t>
            </w:r>
          </w:p>
        </w:tc>
        <w:tc>
          <w:tcPr>
            <w:tcW w:w="49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作物耕作与生态</w:t>
            </w:r>
          </w:p>
        </w:tc>
        <w:tc>
          <w:tcPr>
            <w:tcW w:w="2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30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4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作物栽培（化学调控）</w:t>
            </w:r>
          </w:p>
        </w:tc>
        <w:tc>
          <w:tcPr>
            <w:tcW w:w="148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在作物生理学和分子生物学水平上，探索高温胁迫影响玉米根系建构和功能（吸收水分、吸收同化养分）的激素及分子机理；明确高分子蛋白金属酶和植物生长调节剂提高玉米抗逆性、促进根系建构、提高根系吸收同化功能、促进穗发育和籽粒灌浆的最佳应用时期和剂量。</w:t>
            </w:r>
          </w:p>
        </w:tc>
        <w:tc>
          <w:tcPr>
            <w:tcW w:w="157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董志强：010-82106043，13263326901；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dongzhiqiang@caas.cn</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合作导师信息：</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http://booking.icscaas.com.cn/cv/sp/hae9lu81.html</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D0858"/>
    <w:rsid w:val="17AD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2021-02-25T01:22:00Z</dcterms:created>
  <dc:creator>Administrator</dc:creator>
  <cp:lastModifiedBy>Administrator</cp:lastModifiedBy>
  <dcterms:modified xsi:type="dcterms:W3CDTF">2021-02-25T02:42:11Z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