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50" w:afterLines="50" w:line="440" w:lineRule="exact"/>
        <w:jc w:val="lef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防城港市文旅集团有限公司</w:t>
      </w:r>
    </w:p>
    <w:p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应聘报名信息登记表</w:t>
      </w:r>
    </w:p>
    <w:tbl>
      <w:tblPr>
        <w:tblStyle w:val="5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450"/>
        <w:gridCol w:w="272"/>
        <w:gridCol w:w="323"/>
        <w:gridCol w:w="951"/>
        <w:gridCol w:w="29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选择部门：  </w:t>
            </w:r>
          </w:p>
        </w:tc>
        <w:tc>
          <w:tcPr>
            <w:tcW w:w="4395" w:type="dxa"/>
            <w:gridSpan w:val="7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选择岗位：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专业技术职务/取得时间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4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背景</w:t>
            </w:r>
          </w:p>
        </w:tc>
        <w:tc>
          <w:tcPr>
            <w:tcW w:w="128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/专业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5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何时何地曾获得何种奖励、荣誉或资格证书</w:t>
            </w:r>
          </w:p>
        </w:tc>
        <w:tc>
          <w:tcPr>
            <w:tcW w:w="8656" w:type="dxa"/>
            <w:gridSpan w:val="18"/>
          </w:tcPr>
          <w:p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66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69" w:type="dxa"/>
            <w:gridSpan w:val="6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8" w:type="dxa"/>
            <w:gridSpan w:val="5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8"/>
            <w:vAlign w:val="center"/>
          </w:tcPr>
          <w:p>
            <w:pPr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本人承诺并保证所提供的个人信息真实有效。如有虚假，集团公司可随时取消其应聘资格。如聘用后发现虚假的，将视为欺诈行为，依法解除劳动合同，并不给予任何经济补偿。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ordWrap w:val="0"/>
              <w:ind w:firstLine="4320" w:firstLineChars="18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</w:p>
          <w:p>
            <w:pPr>
              <w:wordWrap w:val="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ind w:firstLine="480" w:firstLineChars="1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138559B1"/>
    <w:rsid w:val="1E6A6197"/>
    <w:rsid w:val="72E016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21</TotalTime>
  <ScaleCrop>false</ScaleCrop>
  <LinksUpToDate>false</LinksUpToDate>
  <CharactersWithSpaces>580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2017-08-08T08:04:00Z</dcterms:created>
  <dc:creator>韦钰</dc:creator>
  <cp:lastModifiedBy>Administrator</cp:lastModifiedBy>
  <dcterms:modified xsi:type="dcterms:W3CDTF">2021-03-02T07:46:29Z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