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88"/>
        <w:jc w:val="left"/>
        <w:textAlignment w:val="baseline"/>
        <w:rPr>
          <w:rFonts w:ascii="Arial" w:hAnsi="Arial" w:eastAsia="Arial" w:cs="Arial"/>
          <w:i w:val="0"/>
          <w:caps w:val="0"/>
          <w:color w:val="434343"/>
          <w:spacing w:val="0"/>
          <w:sz w:val="15"/>
          <w:szCs w:val="15"/>
        </w:rPr>
      </w:pPr>
      <w:bookmarkStart w:id="0" w:name="_GoBack"/>
      <w:r>
        <w:rPr>
          <w:rFonts w:ascii="瀹��" w:hAnsi="瀹��" w:eastAsia="瀹��" w:cs="瀹��"/>
          <w:b/>
          <w:i w:val="0"/>
          <w:caps w:val="0"/>
          <w:color w:val="434343"/>
          <w:spacing w:val="0"/>
          <w:sz w:val="17"/>
          <w:szCs w:val="17"/>
          <w:shd w:val="clear" w:fill="FFFFFF"/>
        </w:rPr>
        <w:t>华南理工大学挥发性有机物污染治理技术与装备国家工程实验室</w:t>
      </w:r>
      <w:r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岗位类型及条件</w:t>
      </w:r>
      <w:bookmarkEnd w:id="0"/>
      <w:r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88"/>
        <w:jc w:val="left"/>
        <w:textAlignment w:val="baseline"/>
        <w:rPr>
          <w:rFonts w:hint="default" w:ascii="Arial" w:hAnsi="Arial" w:eastAsia="Arial" w:cs="Arial"/>
          <w:i w:val="0"/>
          <w:caps w:val="0"/>
          <w:color w:val="434343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caps w:val="0"/>
          <w:color w:val="434343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88"/>
        <w:jc w:val="left"/>
        <w:textAlignment w:val="baseline"/>
        <w:rPr>
          <w:rFonts w:hint="default" w:ascii="Arial" w:hAnsi="Arial" w:eastAsia="Arial" w:cs="Arial"/>
          <w:i w:val="0"/>
          <w:caps w:val="0"/>
          <w:color w:val="434343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caps w:val="0"/>
          <w:color w:val="434343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 </w:t>
      </w:r>
    </w:p>
    <w:tbl>
      <w:tblPr>
        <w:tblW w:w="686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3907"/>
        <w:gridCol w:w="714"/>
        <w:gridCol w:w="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岗位</w:t>
            </w:r>
          </w:p>
        </w:tc>
        <w:tc>
          <w:tcPr>
            <w:tcW w:w="3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招收条件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年薪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聘期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Ⅰ类博士后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需符合以下条件之一：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1.在世界排名前100位大学（ARWU、QS、THE、US News，下同）获得博士学位的优秀者；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2.在国（境）外知名大学获得博士学位，且所属学科在世界排名前100位的优秀者。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32万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Ⅱ类博士后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本科或博士研究生学历符合以下条件之一的优秀者：</w:t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br w:type="textWrapping"/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1.国内“双一流”建设高校；</w:t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br w:type="textWrapping"/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2.世界排名前500位大学；</w:t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br w:type="textWrapping"/>
            </w: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3.中科院直属研究院所。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26万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Ⅲ类博士后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获得博士学位，取得一定成果，具备一定发展潜力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20万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瀹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534F"/>
    <w:rsid w:val="16E45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2021-03-04T02:30:00Z</dcterms:created>
  <dc:creator>WPS_1609033458</dc:creator>
  <cp:lastModifiedBy>WPS_1609033458</cp:lastModifiedBy>
  <dcterms:modified xsi:type="dcterms:W3CDTF">2021-03-04T02:30:55Z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