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3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color w:val="auto"/>
          <w:sz w:val="52"/>
          <w:szCs w:val="5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>诚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>信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>承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>诺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</w:rPr>
        <w:t>书</w:t>
      </w:r>
    </w:p>
    <w:bookmarkEnd w:id="0"/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我已阅读并理解了该考试的有关报考规定，经认真考虑，郑重承诺以下事项：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5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报考者签名：</w:t>
      </w:r>
    </w:p>
    <w:p>
      <w:pPr>
        <w:spacing w:line="580" w:lineRule="exact"/>
        <w:ind w:firstLine="5760" w:firstLineChars="1800"/>
        <w:rPr>
          <w:rFonts w:ascii="仿宋_GB2312" w:hAnsi="仿宋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  <w:highlight w:val="none"/>
          <w:u w:val="single"/>
        </w:rPr>
      </w:pPr>
    </w:p>
    <w:p>
      <w:pPr>
        <w:spacing w:line="58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spacing w:line="58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428F"/>
    <w:rsid w:val="1C06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2021-03-04T03:42:00Z</dcterms:created>
  <dc:creator>踏雪无痕</dc:creator>
  <cp:lastModifiedBy>踏雪无痕</cp:lastModifiedBy>
  <dcterms:modified xsi:type="dcterms:W3CDTF">2021-03-04T03:43:07Z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