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44"/>
        <w:rPr>
          <w:rFonts w:hint="eastAsia" w:ascii="宋体" w:hAnsi="宋体" w:eastAsia="宋体" w:cs="宋体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2"/>
          <w:szCs w:val="22"/>
          <w:bdr w:val="none" w:color="auto" w:sz="0" w:space="0"/>
        </w:rPr>
        <w:t>具体岗位及相关要求见下表：</w:t>
      </w:r>
    </w:p>
    <w:tbl>
      <w:tblPr>
        <w:tblW w:w="1045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973"/>
        <w:gridCol w:w="973"/>
        <w:gridCol w:w="973"/>
        <w:gridCol w:w="6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性别要求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6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化学检测员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6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化学相关专业，英语4级，会操作光谱、色谱类仪器者可放宽学历要求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037EE"/>
    <w:rsid w:val="001037EE"/>
    <w:rsid w:val="002810D1"/>
    <w:rsid w:val="2516664E"/>
    <w:rsid w:val="33F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2021-03-05T06:30:00Z</dcterms:created>
  <dc:creator>PC</dc:creator>
  <cp:lastModifiedBy>卜荣荣</cp:lastModifiedBy>
  <dcterms:modified xsi:type="dcterms:W3CDTF">2021-03-10T04:53:56Z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