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5" w:type="dxa"/>
        <w:tblInd w:w="-1089" w:type="dxa"/>
        <w:tblCellMar>
          <w:left w:w="0" w:type="dxa"/>
          <w:right w:w="0" w:type="dxa"/>
        </w:tblCellMar>
        <w:tblLook w:val="04A0" w:firstRow="1" w:lastRow="0" w:firstColumn="1" w:lastColumn="0" w:noHBand="0" w:noVBand="1"/>
      </w:tblPr>
      <w:tblGrid>
        <w:gridCol w:w="1418"/>
        <w:gridCol w:w="585"/>
        <w:gridCol w:w="795"/>
        <w:gridCol w:w="975"/>
        <w:gridCol w:w="1560"/>
        <w:gridCol w:w="1665"/>
        <w:gridCol w:w="3507"/>
      </w:tblGrid>
      <w:tr w:rsidR="00465FA3" w:rsidRPr="00465FA3" w:rsidTr="00465FA3">
        <w:trPr>
          <w:trHeight w:val="1416"/>
        </w:trPr>
        <w:tc>
          <w:tcPr>
            <w:tcW w:w="1418" w:type="dxa"/>
            <w:tcBorders>
              <w:top w:val="single" w:sz="8" w:space="0" w:color="000000"/>
              <w:left w:val="single" w:sz="8" w:space="0" w:color="000000"/>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bookmarkStart w:id="0" w:name="_GoBack"/>
            <w:bookmarkEnd w:id="0"/>
            <w:r w:rsidRPr="00465FA3">
              <w:rPr>
                <w:rFonts w:ascii="仿宋_GB2312" w:eastAsia="仿宋_GB2312" w:hAnsi="宋体" w:cs="宋体" w:hint="eastAsia"/>
                <w:kern w:val="0"/>
                <w:sz w:val="24"/>
                <w:szCs w:val="24"/>
              </w:rPr>
              <w:t>岗位名称</w:t>
            </w:r>
          </w:p>
        </w:tc>
        <w:tc>
          <w:tcPr>
            <w:tcW w:w="585" w:type="dxa"/>
            <w:tcBorders>
              <w:top w:val="single" w:sz="8" w:space="0" w:color="000000"/>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招聘人数</w:t>
            </w:r>
          </w:p>
        </w:tc>
        <w:tc>
          <w:tcPr>
            <w:tcW w:w="795" w:type="dxa"/>
            <w:tcBorders>
              <w:top w:val="single" w:sz="8" w:space="0" w:color="000000"/>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年龄</w:t>
            </w:r>
          </w:p>
        </w:tc>
        <w:tc>
          <w:tcPr>
            <w:tcW w:w="975" w:type="dxa"/>
            <w:tcBorders>
              <w:top w:val="single" w:sz="8" w:space="0" w:color="000000"/>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学历</w:t>
            </w:r>
          </w:p>
        </w:tc>
        <w:tc>
          <w:tcPr>
            <w:tcW w:w="1560" w:type="dxa"/>
            <w:tcBorders>
              <w:top w:val="single" w:sz="8" w:space="0" w:color="000000"/>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学历</w:t>
            </w:r>
          </w:p>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类别</w:t>
            </w:r>
          </w:p>
        </w:tc>
        <w:tc>
          <w:tcPr>
            <w:tcW w:w="1665" w:type="dxa"/>
            <w:tcBorders>
              <w:top w:val="single" w:sz="8" w:space="0" w:color="000000"/>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专业</w:t>
            </w:r>
          </w:p>
        </w:tc>
        <w:tc>
          <w:tcPr>
            <w:tcW w:w="3507" w:type="dxa"/>
            <w:tcBorders>
              <w:top w:val="single" w:sz="8" w:space="0" w:color="000000"/>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其它要求</w:t>
            </w:r>
          </w:p>
        </w:tc>
      </w:tr>
      <w:tr w:rsidR="00465FA3" w:rsidRPr="00465FA3" w:rsidTr="00465FA3">
        <w:trPr>
          <w:trHeight w:val="1590"/>
        </w:trPr>
        <w:tc>
          <w:tcPr>
            <w:tcW w:w="1418" w:type="dxa"/>
            <w:tcBorders>
              <w:top w:val="nil"/>
              <w:left w:val="single" w:sz="8" w:space="0" w:color="000000"/>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proofErr w:type="gramStart"/>
            <w:r w:rsidRPr="00465FA3">
              <w:rPr>
                <w:rFonts w:ascii="仿宋_GB2312" w:eastAsia="仿宋_GB2312" w:hAnsi="宋体" w:cs="宋体" w:hint="eastAsia"/>
                <w:kern w:val="0"/>
                <w:sz w:val="24"/>
                <w:szCs w:val="24"/>
              </w:rPr>
              <w:t>公卫科</w:t>
            </w:r>
            <w:proofErr w:type="gramEnd"/>
            <w:r w:rsidRPr="00465FA3">
              <w:rPr>
                <w:rFonts w:ascii="仿宋_GB2312" w:eastAsia="仿宋_GB2312" w:hAnsi="宋体" w:cs="宋体" w:hint="eastAsia"/>
                <w:kern w:val="0"/>
                <w:sz w:val="24"/>
                <w:szCs w:val="24"/>
              </w:rPr>
              <w:t>工作人员</w:t>
            </w:r>
          </w:p>
        </w:tc>
        <w:tc>
          <w:tcPr>
            <w:tcW w:w="58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1</w:t>
            </w:r>
          </w:p>
        </w:tc>
        <w:tc>
          <w:tcPr>
            <w:tcW w:w="79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35周岁及以下</w:t>
            </w:r>
          </w:p>
        </w:tc>
        <w:tc>
          <w:tcPr>
            <w:tcW w:w="97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大专及以上学历</w:t>
            </w:r>
          </w:p>
        </w:tc>
        <w:tc>
          <w:tcPr>
            <w:tcW w:w="1560"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普通全日制</w:t>
            </w:r>
          </w:p>
        </w:tc>
        <w:tc>
          <w:tcPr>
            <w:tcW w:w="166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护理学类、临床医学</w:t>
            </w:r>
          </w:p>
        </w:tc>
        <w:tc>
          <w:tcPr>
            <w:tcW w:w="3507"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具备相关专业资格证书（临床医学专业应届毕业生要求到岗之日起第三年度内必须通过相应资格考试，否则予以解聘）。</w:t>
            </w:r>
          </w:p>
        </w:tc>
      </w:tr>
      <w:tr w:rsidR="00465FA3" w:rsidRPr="00465FA3" w:rsidTr="00465FA3">
        <w:trPr>
          <w:trHeight w:val="1100"/>
        </w:trPr>
        <w:tc>
          <w:tcPr>
            <w:tcW w:w="1418" w:type="dxa"/>
            <w:tcBorders>
              <w:top w:val="nil"/>
              <w:left w:val="single" w:sz="8" w:space="0" w:color="000000"/>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预防保健科护士</w:t>
            </w:r>
          </w:p>
        </w:tc>
        <w:tc>
          <w:tcPr>
            <w:tcW w:w="58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1</w:t>
            </w:r>
          </w:p>
        </w:tc>
        <w:tc>
          <w:tcPr>
            <w:tcW w:w="79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35周岁及以下</w:t>
            </w:r>
          </w:p>
        </w:tc>
        <w:tc>
          <w:tcPr>
            <w:tcW w:w="97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大专及以上学历</w:t>
            </w:r>
          </w:p>
        </w:tc>
        <w:tc>
          <w:tcPr>
            <w:tcW w:w="1560"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普通全日制</w:t>
            </w:r>
          </w:p>
        </w:tc>
        <w:tc>
          <w:tcPr>
            <w:tcW w:w="166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proofErr w:type="gramStart"/>
            <w:r w:rsidRPr="00465FA3">
              <w:rPr>
                <w:rFonts w:ascii="仿宋_GB2312" w:eastAsia="仿宋_GB2312" w:hAnsi="宋体" w:cs="宋体" w:hint="eastAsia"/>
                <w:kern w:val="0"/>
                <w:sz w:val="24"/>
                <w:szCs w:val="24"/>
              </w:rPr>
              <w:t>护理学类</w:t>
            </w:r>
            <w:proofErr w:type="gramEnd"/>
          </w:p>
        </w:tc>
        <w:tc>
          <w:tcPr>
            <w:tcW w:w="3507"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具备护士及以上资格证书。</w:t>
            </w:r>
          </w:p>
        </w:tc>
      </w:tr>
      <w:tr w:rsidR="00465FA3" w:rsidRPr="00465FA3" w:rsidTr="00465FA3">
        <w:trPr>
          <w:trHeight w:val="1610"/>
        </w:trPr>
        <w:tc>
          <w:tcPr>
            <w:tcW w:w="1418" w:type="dxa"/>
            <w:tcBorders>
              <w:top w:val="nil"/>
              <w:left w:val="single" w:sz="8" w:space="0" w:color="000000"/>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公卫科医师</w:t>
            </w:r>
          </w:p>
        </w:tc>
        <w:tc>
          <w:tcPr>
            <w:tcW w:w="58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1</w:t>
            </w:r>
          </w:p>
        </w:tc>
        <w:tc>
          <w:tcPr>
            <w:tcW w:w="79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35周岁及以下</w:t>
            </w:r>
          </w:p>
        </w:tc>
        <w:tc>
          <w:tcPr>
            <w:tcW w:w="97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大专及以上学历</w:t>
            </w:r>
          </w:p>
        </w:tc>
        <w:tc>
          <w:tcPr>
            <w:tcW w:w="1560"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普通全日制</w:t>
            </w:r>
          </w:p>
        </w:tc>
        <w:tc>
          <w:tcPr>
            <w:tcW w:w="166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预防医学</w:t>
            </w:r>
          </w:p>
        </w:tc>
        <w:tc>
          <w:tcPr>
            <w:tcW w:w="3507"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具备执业助理医师及以上资格证书；应届毕业生要求到岗之日起第二年度内必须通过相应资格考试，否则予以解聘。</w:t>
            </w:r>
          </w:p>
        </w:tc>
      </w:tr>
      <w:tr w:rsidR="00465FA3" w:rsidRPr="00465FA3" w:rsidTr="00465FA3">
        <w:trPr>
          <w:trHeight w:val="1610"/>
        </w:trPr>
        <w:tc>
          <w:tcPr>
            <w:tcW w:w="1418" w:type="dxa"/>
            <w:tcBorders>
              <w:top w:val="nil"/>
              <w:left w:val="single" w:sz="8" w:space="0" w:color="000000"/>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口腔科医师</w:t>
            </w:r>
          </w:p>
        </w:tc>
        <w:tc>
          <w:tcPr>
            <w:tcW w:w="58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1</w:t>
            </w:r>
          </w:p>
        </w:tc>
        <w:tc>
          <w:tcPr>
            <w:tcW w:w="79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40周岁及以下</w:t>
            </w:r>
          </w:p>
        </w:tc>
        <w:tc>
          <w:tcPr>
            <w:tcW w:w="97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大专及以上学历</w:t>
            </w:r>
          </w:p>
        </w:tc>
        <w:tc>
          <w:tcPr>
            <w:tcW w:w="1560"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普通全日制</w:t>
            </w:r>
          </w:p>
        </w:tc>
        <w:tc>
          <w:tcPr>
            <w:tcW w:w="166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口腔医学</w:t>
            </w:r>
          </w:p>
        </w:tc>
        <w:tc>
          <w:tcPr>
            <w:tcW w:w="3507"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rPr>
                <w:rFonts w:ascii="宋体" w:eastAsia="宋体" w:hAnsi="宋体" w:cs="宋体"/>
                <w:kern w:val="0"/>
                <w:sz w:val="24"/>
                <w:szCs w:val="24"/>
              </w:rPr>
            </w:pPr>
            <w:r w:rsidRPr="00465FA3">
              <w:rPr>
                <w:rFonts w:ascii="仿宋_GB2312" w:eastAsia="仿宋_GB2312" w:hAnsi="宋体" w:cs="宋体" w:hint="eastAsia"/>
                <w:kern w:val="0"/>
                <w:sz w:val="24"/>
                <w:szCs w:val="24"/>
              </w:rPr>
              <w:t>具备执业助理医师及以上资格证书；具备中级及以上专业技术职称者，文化程度可放宽至非全日制大专及以上；应届毕业生要求到岗之日起第三年度内必须通过相应资格考试，否则予以解聘；在确保到退休社保最低缴费年限达到15年的前提下，年龄可放宽至45周岁及以下。</w:t>
            </w:r>
          </w:p>
        </w:tc>
      </w:tr>
      <w:tr w:rsidR="00465FA3" w:rsidRPr="00465FA3" w:rsidTr="00465FA3">
        <w:trPr>
          <w:trHeight w:val="1335"/>
        </w:trPr>
        <w:tc>
          <w:tcPr>
            <w:tcW w:w="1418" w:type="dxa"/>
            <w:tcBorders>
              <w:top w:val="nil"/>
              <w:left w:val="single" w:sz="8" w:space="0" w:color="000000"/>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临床医师</w:t>
            </w:r>
          </w:p>
        </w:tc>
        <w:tc>
          <w:tcPr>
            <w:tcW w:w="58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1</w:t>
            </w:r>
          </w:p>
        </w:tc>
        <w:tc>
          <w:tcPr>
            <w:tcW w:w="79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35周岁及以下</w:t>
            </w:r>
          </w:p>
        </w:tc>
        <w:tc>
          <w:tcPr>
            <w:tcW w:w="97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大专及以上学历</w:t>
            </w:r>
          </w:p>
        </w:tc>
        <w:tc>
          <w:tcPr>
            <w:tcW w:w="1560"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普通全日制</w:t>
            </w:r>
          </w:p>
        </w:tc>
        <w:tc>
          <w:tcPr>
            <w:tcW w:w="166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临床医学</w:t>
            </w:r>
          </w:p>
        </w:tc>
        <w:tc>
          <w:tcPr>
            <w:tcW w:w="3507"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rPr>
                <w:rFonts w:ascii="宋体" w:eastAsia="宋体" w:hAnsi="宋体" w:cs="宋体"/>
                <w:kern w:val="0"/>
                <w:sz w:val="24"/>
                <w:szCs w:val="24"/>
              </w:rPr>
            </w:pPr>
            <w:r w:rsidRPr="00465FA3">
              <w:rPr>
                <w:rFonts w:ascii="仿宋_GB2312" w:eastAsia="仿宋_GB2312" w:hAnsi="宋体" w:cs="宋体" w:hint="eastAsia"/>
                <w:kern w:val="0"/>
                <w:sz w:val="24"/>
                <w:szCs w:val="24"/>
              </w:rPr>
              <w:t>具备执业助理医师及以上资格证书。</w:t>
            </w:r>
          </w:p>
        </w:tc>
      </w:tr>
      <w:tr w:rsidR="00465FA3" w:rsidRPr="00465FA3" w:rsidTr="00465FA3">
        <w:trPr>
          <w:trHeight w:val="1335"/>
        </w:trPr>
        <w:tc>
          <w:tcPr>
            <w:tcW w:w="1418" w:type="dxa"/>
            <w:tcBorders>
              <w:top w:val="nil"/>
              <w:left w:val="single" w:sz="8" w:space="0" w:color="000000"/>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全科医师</w:t>
            </w:r>
          </w:p>
        </w:tc>
        <w:tc>
          <w:tcPr>
            <w:tcW w:w="58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1</w:t>
            </w:r>
          </w:p>
        </w:tc>
        <w:tc>
          <w:tcPr>
            <w:tcW w:w="79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35周岁及以下</w:t>
            </w:r>
          </w:p>
        </w:tc>
        <w:tc>
          <w:tcPr>
            <w:tcW w:w="97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本科及以上学历</w:t>
            </w:r>
          </w:p>
        </w:tc>
        <w:tc>
          <w:tcPr>
            <w:tcW w:w="1560"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普通全日制</w:t>
            </w:r>
          </w:p>
        </w:tc>
        <w:tc>
          <w:tcPr>
            <w:tcW w:w="166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临床医学</w:t>
            </w:r>
          </w:p>
        </w:tc>
        <w:tc>
          <w:tcPr>
            <w:tcW w:w="3507"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rPr>
                <w:rFonts w:ascii="宋体" w:eastAsia="宋体" w:hAnsi="宋体" w:cs="宋体"/>
                <w:kern w:val="0"/>
                <w:sz w:val="24"/>
                <w:szCs w:val="24"/>
              </w:rPr>
            </w:pPr>
            <w:r w:rsidRPr="00465FA3">
              <w:rPr>
                <w:rFonts w:ascii="仿宋_GB2312" w:eastAsia="仿宋_GB2312" w:hAnsi="宋体" w:cs="宋体" w:hint="eastAsia"/>
                <w:kern w:val="0"/>
                <w:sz w:val="24"/>
                <w:szCs w:val="24"/>
              </w:rPr>
              <w:t>具备执业医师及以上资格证书；应届毕业生要求到岗之日起第三年度内必须通过相应资格考试，否则予以解聘。</w:t>
            </w:r>
          </w:p>
        </w:tc>
      </w:tr>
      <w:tr w:rsidR="00465FA3" w:rsidRPr="00465FA3" w:rsidTr="00465FA3">
        <w:trPr>
          <w:trHeight w:val="1335"/>
        </w:trPr>
        <w:tc>
          <w:tcPr>
            <w:tcW w:w="1418" w:type="dxa"/>
            <w:tcBorders>
              <w:top w:val="nil"/>
              <w:left w:val="single" w:sz="8" w:space="0" w:color="000000"/>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临床中医师</w:t>
            </w:r>
          </w:p>
        </w:tc>
        <w:tc>
          <w:tcPr>
            <w:tcW w:w="58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1</w:t>
            </w:r>
          </w:p>
        </w:tc>
        <w:tc>
          <w:tcPr>
            <w:tcW w:w="79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35周岁及以下</w:t>
            </w:r>
          </w:p>
        </w:tc>
        <w:tc>
          <w:tcPr>
            <w:tcW w:w="97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大专及以上学历</w:t>
            </w:r>
          </w:p>
        </w:tc>
        <w:tc>
          <w:tcPr>
            <w:tcW w:w="1560"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普通全日制</w:t>
            </w:r>
          </w:p>
        </w:tc>
        <w:tc>
          <w:tcPr>
            <w:tcW w:w="166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中西医临床医学</w:t>
            </w:r>
          </w:p>
        </w:tc>
        <w:tc>
          <w:tcPr>
            <w:tcW w:w="3507"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rPr>
                <w:rFonts w:ascii="宋体" w:eastAsia="宋体" w:hAnsi="宋体" w:cs="宋体"/>
                <w:kern w:val="0"/>
                <w:sz w:val="24"/>
                <w:szCs w:val="24"/>
              </w:rPr>
            </w:pPr>
            <w:r w:rsidRPr="00465FA3">
              <w:rPr>
                <w:rFonts w:ascii="仿宋_GB2312" w:eastAsia="仿宋_GB2312" w:hAnsi="宋体" w:cs="宋体" w:hint="eastAsia"/>
                <w:kern w:val="0"/>
                <w:sz w:val="24"/>
                <w:szCs w:val="24"/>
              </w:rPr>
              <w:t>具备执业助理医师及以上资格证书。</w:t>
            </w:r>
          </w:p>
        </w:tc>
      </w:tr>
      <w:tr w:rsidR="00465FA3" w:rsidRPr="00465FA3" w:rsidTr="00465FA3">
        <w:trPr>
          <w:trHeight w:val="1335"/>
        </w:trPr>
        <w:tc>
          <w:tcPr>
            <w:tcW w:w="1418" w:type="dxa"/>
            <w:tcBorders>
              <w:top w:val="nil"/>
              <w:left w:val="single" w:sz="8" w:space="0" w:color="000000"/>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lastRenderedPageBreak/>
              <w:t>全科中医师</w:t>
            </w:r>
          </w:p>
        </w:tc>
        <w:tc>
          <w:tcPr>
            <w:tcW w:w="58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1</w:t>
            </w:r>
          </w:p>
        </w:tc>
        <w:tc>
          <w:tcPr>
            <w:tcW w:w="79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35周岁及以下</w:t>
            </w:r>
          </w:p>
        </w:tc>
        <w:tc>
          <w:tcPr>
            <w:tcW w:w="97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本科及以上学历</w:t>
            </w:r>
          </w:p>
        </w:tc>
        <w:tc>
          <w:tcPr>
            <w:tcW w:w="1560"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普通全日制</w:t>
            </w:r>
          </w:p>
        </w:tc>
        <w:tc>
          <w:tcPr>
            <w:tcW w:w="1665"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jc w:val="center"/>
              <w:rPr>
                <w:rFonts w:ascii="宋体" w:eastAsia="宋体" w:hAnsi="宋体" w:cs="宋体"/>
                <w:kern w:val="0"/>
                <w:sz w:val="24"/>
                <w:szCs w:val="24"/>
              </w:rPr>
            </w:pPr>
            <w:r w:rsidRPr="00465FA3">
              <w:rPr>
                <w:rFonts w:ascii="仿宋_GB2312" w:eastAsia="仿宋_GB2312" w:hAnsi="宋体" w:cs="宋体" w:hint="eastAsia"/>
                <w:kern w:val="0"/>
                <w:sz w:val="24"/>
                <w:szCs w:val="24"/>
              </w:rPr>
              <w:t>中医学</w:t>
            </w:r>
          </w:p>
        </w:tc>
        <w:tc>
          <w:tcPr>
            <w:tcW w:w="3507"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465FA3" w:rsidRPr="00465FA3" w:rsidRDefault="00465FA3" w:rsidP="00465FA3">
            <w:pPr>
              <w:widowControl/>
              <w:rPr>
                <w:rFonts w:ascii="宋体" w:eastAsia="宋体" w:hAnsi="宋体" w:cs="宋体"/>
                <w:kern w:val="0"/>
                <w:sz w:val="24"/>
                <w:szCs w:val="24"/>
              </w:rPr>
            </w:pPr>
            <w:r w:rsidRPr="00465FA3">
              <w:rPr>
                <w:rFonts w:ascii="仿宋_GB2312" w:eastAsia="仿宋_GB2312" w:hAnsi="宋体" w:cs="宋体" w:hint="eastAsia"/>
                <w:kern w:val="0"/>
                <w:sz w:val="24"/>
                <w:szCs w:val="24"/>
              </w:rPr>
              <w:t>具备执业医师及以上资格证书；应届毕业生要求到岗之日起第二年度内必须通过相应资格考试，否则予以解聘。</w:t>
            </w:r>
          </w:p>
        </w:tc>
      </w:tr>
    </w:tbl>
    <w:p w:rsidR="00465FA3" w:rsidRPr="00465FA3" w:rsidRDefault="00465FA3" w:rsidP="00465FA3">
      <w:pPr>
        <w:widowControl/>
        <w:shd w:val="clear" w:color="auto" w:fill="FFFFFF"/>
        <w:jc w:val="left"/>
        <w:rPr>
          <w:rFonts w:ascii="宋体" w:eastAsia="宋体" w:hAnsi="宋体" w:cs="宋体"/>
          <w:color w:val="333333"/>
          <w:kern w:val="0"/>
          <w:sz w:val="24"/>
          <w:szCs w:val="24"/>
        </w:rPr>
      </w:pPr>
      <w:r w:rsidRPr="00465FA3">
        <w:rPr>
          <w:rFonts w:ascii="宋体" w:eastAsia="宋体" w:hAnsi="宋体" w:cs="宋体" w:hint="eastAsia"/>
          <w:color w:val="333333"/>
          <w:kern w:val="0"/>
          <w:sz w:val="24"/>
          <w:szCs w:val="24"/>
        </w:rPr>
        <w:t xml:space="preserve">　　</w:t>
      </w:r>
    </w:p>
    <w:p w:rsidR="00FD4294" w:rsidRPr="00465FA3" w:rsidRDefault="00FD4294" w:rsidP="00465FA3"/>
    <w:sectPr w:rsidR="00FD4294" w:rsidRPr="00465FA3" w:rsidSect="00D069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4A"/>
    <w:rsid w:val="00087728"/>
    <w:rsid w:val="00247103"/>
    <w:rsid w:val="0027421F"/>
    <w:rsid w:val="00333D06"/>
    <w:rsid w:val="00373CC6"/>
    <w:rsid w:val="00465FA3"/>
    <w:rsid w:val="005B4C36"/>
    <w:rsid w:val="00627F4B"/>
    <w:rsid w:val="0087234A"/>
    <w:rsid w:val="009867A3"/>
    <w:rsid w:val="00D069F5"/>
    <w:rsid w:val="00D43700"/>
    <w:rsid w:val="00D809BB"/>
    <w:rsid w:val="00FB6543"/>
    <w:rsid w:val="00FD4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4C3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4C3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85914">
      <w:bodyDiv w:val="1"/>
      <w:marLeft w:val="0"/>
      <w:marRight w:val="0"/>
      <w:marTop w:val="0"/>
      <w:marBottom w:val="0"/>
      <w:divBdr>
        <w:top w:val="none" w:sz="0" w:space="0" w:color="auto"/>
        <w:left w:val="none" w:sz="0" w:space="0" w:color="auto"/>
        <w:bottom w:val="none" w:sz="0" w:space="0" w:color="auto"/>
        <w:right w:val="none" w:sz="0" w:space="0" w:color="auto"/>
      </w:divBdr>
    </w:div>
    <w:div w:id="331564579">
      <w:bodyDiv w:val="1"/>
      <w:marLeft w:val="0"/>
      <w:marRight w:val="0"/>
      <w:marTop w:val="0"/>
      <w:marBottom w:val="0"/>
      <w:divBdr>
        <w:top w:val="none" w:sz="0" w:space="0" w:color="auto"/>
        <w:left w:val="none" w:sz="0" w:space="0" w:color="auto"/>
        <w:bottom w:val="none" w:sz="0" w:space="0" w:color="auto"/>
        <w:right w:val="none" w:sz="0" w:space="0" w:color="auto"/>
      </w:divBdr>
    </w:div>
    <w:div w:id="374232993">
      <w:bodyDiv w:val="1"/>
      <w:marLeft w:val="0"/>
      <w:marRight w:val="0"/>
      <w:marTop w:val="0"/>
      <w:marBottom w:val="0"/>
      <w:divBdr>
        <w:top w:val="none" w:sz="0" w:space="0" w:color="auto"/>
        <w:left w:val="none" w:sz="0" w:space="0" w:color="auto"/>
        <w:bottom w:val="none" w:sz="0" w:space="0" w:color="auto"/>
        <w:right w:val="none" w:sz="0" w:space="0" w:color="auto"/>
      </w:divBdr>
      <w:divsChild>
        <w:div w:id="315648862">
          <w:marLeft w:val="0"/>
          <w:marRight w:val="0"/>
          <w:marTop w:val="0"/>
          <w:marBottom w:val="0"/>
          <w:divBdr>
            <w:top w:val="none" w:sz="0" w:space="0" w:color="auto"/>
            <w:left w:val="none" w:sz="0" w:space="0" w:color="auto"/>
            <w:bottom w:val="none" w:sz="0" w:space="0" w:color="auto"/>
            <w:right w:val="none" w:sz="0" w:space="0" w:color="auto"/>
          </w:divBdr>
          <w:divsChild>
            <w:div w:id="1268466313">
              <w:marLeft w:val="0"/>
              <w:marRight w:val="0"/>
              <w:marTop w:val="0"/>
              <w:marBottom w:val="0"/>
              <w:divBdr>
                <w:top w:val="none" w:sz="0" w:space="0" w:color="auto"/>
                <w:left w:val="none" w:sz="0" w:space="0" w:color="auto"/>
                <w:bottom w:val="none" w:sz="0" w:space="0" w:color="auto"/>
                <w:right w:val="none" w:sz="0" w:space="0" w:color="auto"/>
              </w:divBdr>
              <w:divsChild>
                <w:div w:id="180978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275002">
      <w:bodyDiv w:val="1"/>
      <w:marLeft w:val="0"/>
      <w:marRight w:val="0"/>
      <w:marTop w:val="0"/>
      <w:marBottom w:val="0"/>
      <w:divBdr>
        <w:top w:val="none" w:sz="0" w:space="0" w:color="auto"/>
        <w:left w:val="none" w:sz="0" w:space="0" w:color="auto"/>
        <w:bottom w:val="none" w:sz="0" w:space="0" w:color="auto"/>
        <w:right w:val="none" w:sz="0" w:space="0" w:color="auto"/>
      </w:divBdr>
    </w:div>
    <w:div w:id="556551337">
      <w:bodyDiv w:val="1"/>
      <w:marLeft w:val="0"/>
      <w:marRight w:val="0"/>
      <w:marTop w:val="0"/>
      <w:marBottom w:val="0"/>
      <w:divBdr>
        <w:top w:val="none" w:sz="0" w:space="0" w:color="auto"/>
        <w:left w:val="none" w:sz="0" w:space="0" w:color="auto"/>
        <w:bottom w:val="none" w:sz="0" w:space="0" w:color="auto"/>
        <w:right w:val="none" w:sz="0" w:space="0" w:color="auto"/>
      </w:divBdr>
      <w:divsChild>
        <w:div w:id="1976715680">
          <w:marLeft w:val="0"/>
          <w:marRight w:val="0"/>
          <w:marTop w:val="0"/>
          <w:marBottom w:val="0"/>
          <w:divBdr>
            <w:top w:val="none" w:sz="0" w:space="0" w:color="auto"/>
            <w:left w:val="none" w:sz="0" w:space="0" w:color="auto"/>
            <w:bottom w:val="none" w:sz="0" w:space="0" w:color="auto"/>
            <w:right w:val="none" w:sz="0" w:space="0" w:color="auto"/>
          </w:divBdr>
          <w:divsChild>
            <w:div w:id="899171089">
              <w:marLeft w:val="0"/>
              <w:marRight w:val="0"/>
              <w:marTop w:val="0"/>
              <w:marBottom w:val="0"/>
              <w:divBdr>
                <w:top w:val="none" w:sz="0" w:space="0" w:color="auto"/>
                <w:left w:val="none" w:sz="0" w:space="0" w:color="auto"/>
                <w:bottom w:val="none" w:sz="0" w:space="0" w:color="auto"/>
                <w:right w:val="none" w:sz="0" w:space="0" w:color="auto"/>
              </w:divBdr>
              <w:divsChild>
                <w:div w:id="900945714">
                  <w:marLeft w:val="0"/>
                  <w:marRight w:val="0"/>
                  <w:marTop w:val="0"/>
                  <w:marBottom w:val="0"/>
                  <w:divBdr>
                    <w:top w:val="none" w:sz="0" w:space="0" w:color="auto"/>
                    <w:left w:val="none" w:sz="0" w:space="0" w:color="auto"/>
                    <w:bottom w:val="none" w:sz="0" w:space="0" w:color="auto"/>
                    <w:right w:val="none" w:sz="0" w:space="0" w:color="auto"/>
                  </w:divBdr>
                  <w:divsChild>
                    <w:div w:id="2101246525">
                      <w:marLeft w:val="0"/>
                      <w:marRight w:val="0"/>
                      <w:marTop w:val="0"/>
                      <w:marBottom w:val="0"/>
                      <w:divBdr>
                        <w:top w:val="none" w:sz="0" w:space="0" w:color="auto"/>
                        <w:left w:val="none" w:sz="0" w:space="0" w:color="auto"/>
                        <w:bottom w:val="none" w:sz="0" w:space="0" w:color="auto"/>
                        <w:right w:val="none" w:sz="0" w:space="0" w:color="auto"/>
                      </w:divBdr>
                      <w:divsChild>
                        <w:div w:id="82243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713479">
      <w:bodyDiv w:val="1"/>
      <w:marLeft w:val="0"/>
      <w:marRight w:val="0"/>
      <w:marTop w:val="0"/>
      <w:marBottom w:val="0"/>
      <w:divBdr>
        <w:top w:val="none" w:sz="0" w:space="0" w:color="auto"/>
        <w:left w:val="none" w:sz="0" w:space="0" w:color="auto"/>
        <w:bottom w:val="none" w:sz="0" w:space="0" w:color="auto"/>
        <w:right w:val="none" w:sz="0" w:space="0" w:color="auto"/>
      </w:divBdr>
    </w:div>
    <w:div w:id="967276437">
      <w:bodyDiv w:val="1"/>
      <w:marLeft w:val="0"/>
      <w:marRight w:val="0"/>
      <w:marTop w:val="0"/>
      <w:marBottom w:val="0"/>
      <w:divBdr>
        <w:top w:val="none" w:sz="0" w:space="0" w:color="auto"/>
        <w:left w:val="none" w:sz="0" w:space="0" w:color="auto"/>
        <w:bottom w:val="none" w:sz="0" w:space="0" w:color="auto"/>
        <w:right w:val="none" w:sz="0" w:space="0" w:color="auto"/>
      </w:divBdr>
    </w:div>
    <w:div w:id="1091657496">
      <w:bodyDiv w:val="1"/>
      <w:marLeft w:val="0"/>
      <w:marRight w:val="0"/>
      <w:marTop w:val="0"/>
      <w:marBottom w:val="0"/>
      <w:divBdr>
        <w:top w:val="none" w:sz="0" w:space="0" w:color="auto"/>
        <w:left w:val="none" w:sz="0" w:space="0" w:color="auto"/>
        <w:bottom w:val="none" w:sz="0" w:space="0" w:color="auto"/>
        <w:right w:val="none" w:sz="0" w:space="0" w:color="auto"/>
      </w:divBdr>
      <w:divsChild>
        <w:div w:id="1400056878">
          <w:marLeft w:val="0"/>
          <w:marRight w:val="0"/>
          <w:marTop w:val="0"/>
          <w:marBottom w:val="0"/>
          <w:divBdr>
            <w:top w:val="none" w:sz="0" w:space="0" w:color="auto"/>
            <w:left w:val="none" w:sz="0" w:space="0" w:color="auto"/>
            <w:bottom w:val="none" w:sz="0" w:space="0" w:color="auto"/>
            <w:right w:val="none" w:sz="0" w:space="0" w:color="auto"/>
          </w:divBdr>
        </w:div>
        <w:div w:id="2143887621">
          <w:marLeft w:val="0"/>
          <w:marRight w:val="0"/>
          <w:marTop w:val="0"/>
          <w:marBottom w:val="0"/>
          <w:divBdr>
            <w:top w:val="none" w:sz="0" w:space="0" w:color="auto"/>
            <w:left w:val="none" w:sz="0" w:space="0" w:color="auto"/>
            <w:bottom w:val="none" w:sz="0" w:space="0" w:color="auto"/>
            <w:right w:val="none" w:sz="0" w:space="0" w:color="auto"/>
          </w:divBdr>
        </w:div>
      </w:divsChild>
    </w:div>
    <w:div w:id="1233350264">
      <w:bodyDiv w:val="1"/>
      <w:marLeft w:val="0"/>
      <w:marRight w:val="0"/>
      <w:marTop w:val="0"/>
      <w:marBottom w:val="0"/>
      <w:divBdr>
        <w:top w:val="none" w:sz="0" w:space="0" w:color="auto"/>
        <w:left w:val="none" w:sz="0" w:space="0" w:color="auto"/>
        <w:bottom w:val="none" w:sz="0" w:space="0" w:color="auto"/>
        <w:right w:val="none" w:sz="0" w:space="0" w:color="auto"/>
      </w:divBdr>
    </w:div>
    <w:div w:id="1340280595">
      <w:bodyDiv w:val="1"/>
      <w:marLeft w:val="0"/>
      <w:marRight w:val="0"/>
      <w:marTop w:val="0"/>
      <w:marBottom w:val="0"/>
      <w:divBdr>
        <w:top w:val="none" w:sz="0" w:space="0" w:color="auto"/>
        <w:left w:val="none" w:sz="0" w:space="0" w:color="auto"/>
        <w:bottom w:val="none" w:sz="0" w:space="0" w:color="auto"/>
        <w:right w:val="none" w:sz="0" w:space="0" w:color="auto"/>
      </w:divBdr>
      <w:divsChild>
        <w:div w:id="110436940">
          <w:marLeft w:val="0"/>
          <w:marRight w:val="0"/>
          <w:marTop w:val="0"/>
          <w:marBottom w:val="0"/>
          <w:divBdr>
            <w:top w:val="none" w:sz="0" w:space="0" w:color="auto"/>
            <w:left w:val="none" w:sz="0" w:space="0" w:color="auto"/>
            <w:bottom w:val="none" w:sz="0" w:space="0" w:color="auto"/>
            <w:right w:val="none" w:sz="0" w:space="0" w:color="auto"/>
          </w:divBdr>
          <w:divsChild>
            <w:div w:id="221332955">
              <w:marLeft w:val="0"/>
              <w:marRight w:val="0"/>
              <w:marTop w:val="0"/>
              <w:marBottom w:val="0"/>
              <w:divBdr>
                <w:top w:val="none" w:sz="0" w:space="0" w:color="auto"/>
                <w:left w:val="none" w:sz="0" w:space="0" w:color="auto"/>
                <w:bottom w:val="none" w:sz="0" w:space="0" w:color="auto"/>
                <w:right w:val="none" w:sz="0" w:space="0" w:color="auto"/>
              </w:divBdr>
              <w:divsChild>
                <w:div w:id="405609494">
                  <w:marLeft w:val="0"/>
                  <w:marRight w:val="0"/>
                  <w:marTop w:val="0"/>
                  <w:marBottom w:val="0"/>
                  <w:divBdr>
                    <w:top w:val="none" w:sz="0" w:space="0" w:color="auto"/>
                    <w:left w:val="none" w:sz="0" w:space="0" w:color="auto"/>
                    <w:bottom w:val="none" w:sz="0" w:space="0" w:color="auto"/>
                    <w:right w:val="none" w:sz="0" w:space="0" w:color="auto"/>
                  </w:divBdr>
                  <w:divsChild>
                    <w:div w:id="19005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655669">
      <w:bodyDiv w:val="1"/>
      <w:marLeft w:val="0"/>
      <w:marRight w:val="0"/>
      <w:marTop w:val="0"/>
      <w:marBottom w:val="0"/>
      <w:divBdr>
        <w:top w:val="none" w:sz="0" w:space="0" w:color="auto"/>
        <w:left w:val="none" w:sz="0" w:space="0" w:color="auto"/>
        <w:bottom w:val="none" w:sz="0" w:space="0" w:color="auto"/>
        <w:right w:val="none" w:sz="0" w:space="0" w:color="auto"/>
      </w:divBdr>
    </w:div>
    <w:div w:id="1762793032">
      <w:bodyDiv w:val="1"/>
      <w:marLeft w:val="0"/>
      <w:marRight w:val="0"/>
      <w:marTop w:val="0"/>
      <w:marBottom w:val="0"/>
      <w:divBdr>
        <w:top w:val="none" w:sz="0" w:space="0" w:color="auto"/>
        <w:left w:val="none" w:sz="0" w:space="0" w:color="auto"/>
        <w:bottom w:val="none" w:sz="0" w:space="0" w:color="auto"/>
        <w:right w:val="none" w:sz="0" w:space="0" w:color="auto"/>
      </w:divBdr>
    </w:div>
    <w:div w:id="1991132718">
      <w:bodyDiv w:val="1"/>
      <w:marLeft w:val="0"/>
      <w:marRight w:val="0"/>
      <w:marTop w:val="0"/>
      <w:marBottom w:val="0"/>
      <w:divBdr>
        <w:top w:val="none" w:sz="0" w:space="0" w:color="auto"/>
        <w:left w:val="none" w:sz="0" w:space="0" w:color="auto"/>
        <w:bottom w:val="none" w:sz="0" w:space="0" w:color="auto"/>
        <w:right w:val="none" w:sz="0" w:space="0" w:color="auto"/>
      </w:divBdr>
      <w:divsChild>
        <w:div w:id="1811828534">
          <w:marLeft w:val="0"/>
          <w:marRight w:val="0"/>
          <w:marTop w:val="0"/>
          <w:marBottom w:val="0"/>
          <w:divBdr>
            <w:top w:val="none" w:sz="0" w:space="0" w:color="auto"/>
            <w:left w:val="none" w:sz="0" w:space="0" w:color="auto"/>
            <w:bottom w:val="none" w:sz="0" w:space="0" w:color="auto"/>
            <w:right w:val="none" w:sz="0" w:space="0" w:color="auto"/>
          </w:divBdr>
          <w:divsChild>
            <w:div w:id="1084031736">
              <w:marLeft w:val="0"/>
              <w:marRight w:val="0"/>
              <w:marTop w:val="0"/>
              <w:marBottom w:val="0"/>
              <w:divBdr>
                <w:top w:val="none" w:sz="0" w:space="0" w:color="auto"/>
                <w:left w:val="none" w:sz="0" w:space="0" w:color="auto"/>
                <w:bottom w:val="none" w:sz="0" w:space="0" w:color="auto"/>
                <w:right w:val="none" w:sz="0" w:space="0" w:color="auto"/>
              </w:divBdr>
              <w:divsChild>
                <w:div w:id="1415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105</Words>
  <Characters>603</Characters>
  <Application>Microsoft Office Word</Application>
  <DocSecurity>0</DocSecurity>
  <Lines>5</Lines>
  <Paragraphs>1</Paragraphs>
  <ScaleCrop>false</ScaleCrop>
  <Company>微软中国</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2021-03-17T06:04:00Z</dcterms:created>
  <dcterms:modified xsi:type="dcterms:W3CDTF">2021-03-17T06:04:00Z</dcterms:modified>
</cp:coreProperties>
</file>