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sz w:val="34"/>
          <w:szCs w:val="34"/>
        </w:rPr>
      </w:pPr>
      <w:r>
        <w:rPr>
          <w:rFonts w:hint="eastAsia" w:ascii="Times New Roman" w:hAnsi="Times New Roman" w:eastAsia="仿宋_GB2312" w:cs="Times New Roman"/>
          <w:sz w:val="34"/>
          <w:szCs w:val="34"/>
        </w:rPr>
        <w:t>附件1</w:t>
      </w:r>
    </w:p>
    <w:p>
      <w:pPr>
        <w:spacing w:line="570" w:lineRule="exact"/>
        <w:rPr>
          <w:rFonts w:ascii="Times New Roman" w:hAnsi="Times New Roman" w:eastAsia="仿宋_GB2312" w:cs="Times New Roman"/>
          <w:sz w:val="34"/>
          <w:szCs w:val="34"/>
        </w:rPr>
      </w:pPr>
    </w:p>
    <w:p>
      <w:pPr>
        <w:spacing w:line="57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1</w:t>
      </w:r>
      <w:r>
        <w:rPr>
          <w:rFonts w:ascii="Times New Roman" w:hAnsi="Times New Roman" w:eastAsia="方正小标宋简体" w:cs="Times New Roman"/>
          <w:sz w:val="44"/>
          <w:szCs w:val="44"/>
        </w:rPr>
        <w:t>年常山县英才荟人才招引计划表</w:t>
      </w:r>
    </w:p>
    <w:bookmarkEnd w:id="0"/>
    <w:p>
      <w:pPr>
        <w:spacing w:line="570" w:lineRule="exact"/>
        <w:ind w:firstLine="3520" w:firstLineChars="800"/>
        <w:rPr>
          <w:rFonts w:ascii="Times New Roman" w:hAnsi="Times New Roman" w:eastAsia="仿宋_GB2312" w:cs="Times New Roman"/>
          <w:sz w:val="32"/>
          <w:szCs w:val="32"/>
        </w:rPr>
      </w:pPr>
      <w:r>
        <w:rPr>
          <w:rFonts w:ascii="Times New Roman" w:hAnsi="Times New Roman" w:eastAsia="方正小标宋简体" w:cs="Times New Roman"/>
          <w:sz w:val="44"/>
          <w:szCs w:val="44"/>
        </w:rPr>
        <w:t>（第一期）</w:t>
      </w:r>
    </w:p>
    <w:tbl>
      <w:tblPr>
        <w:tblStyle w:val="2"/>
        <w:tblW w:w="8824" w:type="dxa"/>
        <w:tblInd w:w="53" w:type="dxa"/>
        <w:tblLayout w:type="fixed"/>
        <w:tblCellMar>
          <w:top w:w="0" w:type="dxa"/>
          <w:left w:w="0" w:type="dxa"/>
          <w:bottom w:w="0" w:type="dxa"/>
          <w:right w:w="0" w:type="dxa"/>
        </w:tblCellMar>
      </w:tblPr>
      <w:tblGrid>
        <w:gridCol w:w="428"/>
        <w:gridCol w:w="737"/>
        <w:gridCol w:w="1907"/>
        <w:gridCol w:w="4110"/>
        <w:gridCol w:w="555"/>
        <w:gridCol w:w="1087"/>
      </w:tblGrid>
      <w:tr>
        <w:tblPrEx>
          <w:tblCellMar>
            <w:top w:w="0" w:type="dxa"/>
            <w:left w:w="0" w:type="dxa"/>
            <w:bottom w:w="0" w:type="dxa"/>
            <w:right w:w="0" w:type="dxa"/>
          </w:tblCellMar>
        </w:tblPrEx>
        <w:trPr>
          <w:trHeight w:val="90" w:hRule="atLeast"/>
        </w:trPr>
        <w:tc>
          <w:tcPr>
            <w:tcW w:w="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序号</w:t>
            </w:r>
          </w:p>
        </w:tc>
        <w:tc>
          <w:tcPr>
            <w:tcW w:w="7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岗位</w:t>
            </w:r>
          </w:p>
        </w:tc>
        <w:tc>
          <w:tcPr>
            <w:tcW w:w="190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学历要求</w:t>
            </w:r>
          </w:p>
        </w:tc>
        <w:tc>
          <w:tcPr>
            <w:tcW w:w="41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专业及其他要求</w:t>
            </w:r>
          </w:p>
        </w:tc>
        <w:tc>
          <w:tcPr>
            <w:tcW w:w="5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cs="Times New Roman"/>
                <w:b/>
                <w:sz w:val="22"/>
                <w:szCs w:val="22"/>
              </w:rPr>
            </w:pPr>
            <w:r>
              <w:rPr>
                <w:rFonts w:ascii="Times New Roman" w:hAnsi="Times New Roman" w:cs="Times New Roman"/>
                <w:b/>
                <w:kern w:val="0"/>
                <w:sz w:val="22"/>
                <w:szCs w:val="22"/>
              </w:rPr>
              <w:t>计划数</w:t>
            </w:r>
          </w:p>
        </w:tc>
        <w:tc>
          <w:tcPr>
            <w:tcW w:w="10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Times New Roman" w:hAnsi="Times New Roman" w:cs="Times New Roman"/>
                <w:b/>
                <w:kern w:val="0"/>
                <w:sz w:val="22"/>
                <w:szCs w:val="22"/>
              </w:rPr>
            </w:pPr>
            <w:r>
              <w:rPr>
                <w:rFonts w:hint="eastAsia" w:ascii="Times New Roman" w:hAnsi="Times New Roman" w:cs="Times New Roman"/>
                <w:b/>
                <w:kern w:val="0"/>
                <w:sz w:val="22"/>
                <w:szCs w:val="22"/>
              </w:rPr>
              <w:t>薪酬待遇</w:t>
            </w:r>
          </w:p>
        </w:tc>
      </w:tr>
      <w:tr>
        <w:tblPrEx>
          <w:tblCellMar>
            <w:top w:w="0" w:type="dxa"/>
            <w:left w:w="0" w:type="dxa"/>
            <w:bottom w:w="0" w:type="dxa"/>
            <w:right w:w="0" w:type="dxa"/>
          </w:tblCellMar>
        </w:tblPrEx>
        <w:trPr>
          <w:trHeight w:val="1629"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城建规划</w:t>
            </w:r>
          </w:p>
        </w:tc>
        <w:tc>
          <w:tcPr>
            <w:tcW w:w="190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Cs w:val="21"/>
              </w:rPr>
              <w:t>原“985工程”、“211工程”高校以及12所浙江省内重点建设本科院校的全日制普通高校本科学历且取得学士学位毕业生；“双一流”建设高校相关专业的全日制普通高校本科且取得学士学位的毕业生；全日制普通高校研究生且取得硕士及以上学位的毕业生。(以上均不含二级院校和专升本生）</w:t>
            </w: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 xml:space="preserve">土木工程、给排水科学与工程、建筑学、城乡规划、城市设计、智慧建筑与建造            </w:t>
            </w:r>
          </w:p>
          <w:p>
            <w:pPr>
              <w:widowControl/>
              <w:spacing w:line="26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建设工程管理、建筑与城乡规划设计、土木工程、市政工程、土木工程规划与管理、建筑学、城市规划、城市规划与设计、城市与区域规划</w:t>
            </w:r>
          </w:p>
        </w:tc>
        <w:tc>
          <w:tcPr>
            <w:tcW w:w="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8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录用后参照现有事业单位管理人员待遇</w:t>
            </w:r>
          </w:p>
        </w:tc>
      </w:tr>
      <w:tr>
        <w:tblPrEx>
          <w:tblCellMar>
            <w:top w:w="0" w:type="dxa"/>
            <w:left w:w="0" w:type="dxa"/>
            <w:bottom w:w="0" w:type="dxa"/>
            <w:right w:w="0" w:type="dxa"/>
          </w:tblCellMar>
        </w:tblPrEx>
        <w:trPr>
          <w:trHeight w:val="1684"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交通工程</w:t>
            </w:r>
          </w:p>
        </w:tc>
        <w:tc>
          <w:tcPr>
            <w:tcW w:w="190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交通运输、交通工程、道路桥梁与渡河工程、土木、水利与交通工程、土木工程、工程造价</w:t>
            </w:r>
          </w:p>
          <w:p>
            <w:pPr>
              <w:widowControl/>
              <w:spacing w:line="26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交通运输、交通工程、桥梁与隧道工程、土木工程、交通运输工程、交通运输规划与管理、工程财务与造价管理</w:t>
            </w:r>
          </w:p>
        </w:tc>
        <w:tc>
          <w:tcPr>
            <w:tcW w:w="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8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199"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农业资源1</w:t>
            </w:r>
          </w:p>
        </w:tc>
        <w:tc>
          <w:tcPr>
            <w:tcW w:w="190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中药学、中药资源与开发、中药制药、中草药栽培与鉴定、植物保护、植物科学与技术、农业资源与环境</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中药学、生药学、药剂学、生物化学与分子生物学、土壤学、资源利用与植物保护</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8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906"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农业资源2</w:t>
            </w:r>
          </w:p>
        </w:tc>
        <w:tc>
          <w:tcPr>
            <w:tcW w:w="190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农业水利工程、农业工程、设施农业科学与工程、生物工程</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农业工程、生物工程</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8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993"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林水资源</w:t>
            </w:r>
          </w:p>
        </w:tc>
        <w:tc>
          <w:tcPr>
            <w:tcW w:w="190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：大气科学、水文与水资源工程、防灾减灾科学与工程</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森林培育、森林保护学、森林经理学、经济林学、大气科学、水文学及水资源</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8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1613"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经济管理</w:t>
            </w:r>
          </w:p>
        </w:tc>
        <w:tc>
          <w:tcPr>
            <w:tcW w:w="1907" w:type="dxa"/>
            <w:vMerge w:val="continue"/>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经济统计学、金融学、国际经济与贸易</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发展经济学、管理经济学、企业经济学、产业经济学、工商管理</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087" w:type="dxa"/>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2158"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数字经济</w:t>
            </w:r>
          </w:p>
        </w:tc>
        <w:tc>
          <w:tcPr>
            <w:tcW w:w="190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数字经济、互联网金融、数据科学与大数据技术、数字媒体技术、计算机科学与技术</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计算机应用技术、数据科学和信息技术、互联网信息、信息网络、数据科学、经济大数据分析、互联网金融、经济大数据分析</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87"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2449"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思想政治</w:t>
            </w:r>
          </w:p>
        </w:tc>
        <w:tc>
          <w:tcPr>
            <w:tcW w:w="1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Cs w:val="21"/>
              </w:rPr>
              <w:t>全日制普通高校研究生且取得硕士及以上学位的毕业生。(不含二级院校和专升本生）</w:t>
            </w: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w:t>
            </w:r>
            <w:r>
              <w:rPr>
                <w:rFonts w:hint="eastAsia" w:ascii="仿宋_GB2312" w:hAnsi="仿宋_GB2312" w:eastAsia="仿宋_GB2312" w:cs="仿宋_GB2312"/>
                <w:b/>
                <w:kern w:val="0"/>
                <w:sz w:val="22"/>
                <w:szCs w:val="21"/>
              </w:rPr>
              <w:t>究生</w:t>
            </w:r>
            <w:r>
              <w:rPr>
                <w:rFonts w:hint="eastAsia" w:ascii="仿宋_GB2312" w:hAnsi="仿宋_GB2312" w:eastAsia="仿宋_GB2312" w:cs="仿宋_GB2312"/>
                <w:kern w:val="0"/>
                <w:sz w:val="22"/>
                <w:szCs w:val="21"/>
              </w:rPr>
              <w:t>：管理哲学、马克思主义哲学、哲学、政治哲学、公共政策与公共管理、政府治理与公共政策、政治学、思想政治教育、中共党史、马克思主义中国化研究</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87"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2158"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文化艺术</w:t>
            </w:r>
          </w:p>
        </w:tc>
        <w:tc>
          <w:tcPr>
            <w:tcW w:w="1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Cs w:val="21"/>
              </w:rPr>
              <w:t>原“985工程”、“211工程”高校、12所浙江省内重点建设本科院校以及中国传媒大学、浙江传媒学院、山西传媒学院、中国传媒大学南广学院的全日制普通高校本科学历且取得学士学位毕业生；“双一流”建设高校相关专业的全日制普通高校本科且取得学士学位的毕业生；全日制普通高校研究生且取得硕士及以上学位的毕业生。(以上均不含二级院校和专升本生）</w:t>
            </w: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本科：</w:t>
            </w:r>
            <w:r>
              <w:rPr>
                <w:rFonts w:hint="eastAsia" w:ascii="仿宋_GB2312" w:hAnsi="仿宋_GB2312" w:eastAsia="仿宋_GB2312" w:cs="仿宋_GB2312"/>
                <w:kern w:val="0"/>
                <w:szCs w:val="21"/>
              </w:rPr>
              <w:t>视觉传达设计、录音艺术、播音与主持艺术、新媒体艺术</w:t>
            </w:r>
            <w:r>
              <w:rPr>
                <w:rFonts w:hint="eastAsia" w:ascii="微软雅黑" w:hAnsi="微软雅黑" w:eastAsia="微软雅黑"/>
                <w:color w:val="111F2C"/>
                <w:szCs w:val="21"/>
                <w:shd w:val="clear" w:color="auto" w:fill="FFFFFF"/>
              </w:rPr>
              <w:t>、</w:t>
            </w:r>
            <w:r>
              <w:rPr>
                <w:rFonts w:hint="eastAsia" w:ascii="仿宋_GB2312" w:hAnsi="仿宋_GB2312" w:eastAsia="仿宋_GB2312" w:cs="仿宋_GB2312"/>
                <w:kern w:val="0"/>
                <w:szCs w:val="21"/>
              </w:rPr>
              <w:t>广播电视编导</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研究生：</w:t>
            </w:r>
            <w:r>
              <w:rPr>
                <w:rFonts w:hint="eastAsia" w:ascii="仿宋_GB2312" w:hAnsi="仿宋_GB2312" w:eastAsia="仿宋_GB2312" w:cs="仿宋_GB2312"/>
                <w:kern w:val="0"/>
                <w:szCs w:val="21"/>
              </w:rPr>
              <w:t>播音主持艺术学、广播电视、广播电视艺术学、设计艺术学、数字表演、数字媒体艺术</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87" w:type="dxa"/>
            <w:tcBorders>
              <w:left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r>
        <w:tblPrEx>
          <w:tblCellMar>
            <w:top w:w="0" w:type="dxa"/>
            <w:left w:w="0" w:type="dxa"/>
            <w:bottom w:w="0" w:type="dxa"/>
            <w:right w:w="0" w:type="dxa"/>
          </w:tblCellMar>
        </w:tblPrEx>
        <w:trPr>
          <w:trHeight w:val="2158" w:hRule="atLeast"/>
        </w:trPr>
        <w:tc>
          <w:tcPr>
            <w:tcW w:w="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7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高层次人才</w:t>
            </w:r>
          </w:p>
        </w:tc>
        <w:tc>
          <w:tcPr>
            <w:tcW w:w="19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1.本科为原“985工程”“211工程”高校、12所浙江省内重点建设本科院校以及“双一流”建设高校的相关专业毕业后取得全日制研究生学历且取得硕士及以上学位的毕业生。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2.原“985工程”、“211工程”高校或“双一流”建设高校相关专业的全日制普通高校研究生且取得硕士及以上学位的毕业生。</w:t>
            </w:r>
          </w:p>
          <w:p>
            <w:pPr>
              <w:widowControl/>
              <w:spacing w:line="260" w:lineRule="exact"/>
              <w:textAlignment w:val="center"/>
              <w:rPr>
                <w:rFonts w:ascii="宋体" w:hAnsi="宋体" w:eastAsia="宋体" w:cs="宋体"/>
                <w:color w:val="FF0000"/>
                <w:kern w:val="0"/>
                <w:sz w:val="20"/>
                <w:szCs w:val="20"/>
              </w:rPr>
            </w:pPr>
            <w:r>
              <w:rPr>
                <w:rFonts w:hint="eastAsia" w:ascii="仿宋_GB2312" w:hAnsi="仿宋_GB2312" w:eastAsia="仿宋_GB2312" w:cs="仿宋_GB2312"/>
                <w:kern w:val="0"/>
                <w:szCs w:val="21"/>
              </w:rPr>
              <w:t>3.全日制研究生学历且取得博士学位的毕业生。</w:t>
            </w:r>
          </w:p>
          <w:p>
            <w:pPr>
              <w:widowControl/>
              <w:spacing w:line="26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Cs w:val="21"/>
              </w:rPr>
              <w:t>(以上均不含二级院校和专升本生)</w:t>
            </w:r>
          </w:p>
        </w:tc>
        <w:tc>
          <w:tcPr>
            <w:tcW w:w="41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不限专业</w:t>
            </w:r>
          </w:p>
        </w:tc>
        <w:tc>
          <w:tcPr>
            <w:tcW w:w="5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087"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kern w:val="0"/>
                <w:sz w:val="24"/>
              </w:rPr>
            </w:pPr>
          </w:p>
        </w:tc>
      </w:tr>
    </w:tbl>
    <w:tbl>
      <w:tblPr>
        <w:tblStyle w:val="3"/>
        <w:tblpPr w:leftFromText="180" w:rightFromText="180" w:vertAnchor="text" w:tblpX="10483" w:tblpY="-3663"/>
        <w:tblOverlap w:val="never"/>
        <w:tblW w:w="2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051" w:type="dxa"/>
          </w:tcPr>
          <w:p>
            <w:pPr>
              <w:spacing w:line="260" w:lineRule="exact"/>
            </w:pPr>
          </w:p>
        </w:tc>
      </w:tr>
    </w:tbl>
    <w:tbl>
      <w:tblPr>
        <w:tblStyle w:val="3"/>
        <w:tblpPr w:leftFromText="180" w:rightFromText="180" w:vertAnchor="text" w:tblpX="10483" w:tblpY="-157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06" w:type="dxa"/>
          </w:tcPr>
          <w:p>
            <w:pPr>
              <w:spacing w:line="260" w:lineRule="exact"/>
            </w:pPr>
          </w:p>
        </w:tc>
      </w:tr>
    </w:tbl>
    <w:p>
      <w:pPr>
        <w:spacing w:line="570" w:lineRule="exact"/>
        <w:rPr>
          <w:rFonts w:ascii="Times New Roman" w:hAnsi="Times New Roman" w:eastAsia="仿宋_GB2312" w:cs="Times New Roman"/>
          <w:sz w:val="34"/>
          <w:szCs w:val="3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66173"/>
    <w:rsid w:val="03B6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2021-03-22T01:31:00Z</dcterms:created>
  <dc:creator>夜夜</dc:creator>
  <cp:lastModifiedBy>夜夜</cp:lastModifiedBy>
  <dcterms:modified xsi:type="dcterms:W3CDTF">2021-03-22T01:32:09Z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