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新宋体" w:hAnsi="新宋体" w:eastAsia="新宋体" w:cs="宋体"/>
          <w:b/>
          <w:sz w:val="24"/>
        </w:rPr>
      </w:pPr>
      <w:r>
        <w:rPr>
          <w:rFonts w:hint="eastAsia" w:ascii="新宋体" w:hAnsi="新宋体" w:eastAsia="新宋体" w:cs="宋体"/>
          <w:b/>
          <w:sz w:val="24"/>
        </w:rPr>
        <w:t>附件1：</w:t>
      </w:r>
    </w:p>
    <w:p>
      <w:pPr>
        <w:spacing w:line="500" w:lineRule="exact"/>
        <w:ind w:firstLine="800" w:firstLineChars="200"/>
        <w:jc w:val="center"/>
        <w:rPr>
          <w:rFonts w:ascii="方正粗宋简体" w:hAnsi="方正粗宋简体" w:eastAsia="方正粗宋简体"/>
          <w:sz w:val="40"/>
          <w:szCs w:val="28"/>
        </w:rPr>
      </w:pPr>
      <w:bookmarkStart w:id="0" w:name="_GoBack"/>
      <w:r>
        <w:rPr>
          <w:rFonts w:hint="eastAsia" w:ascii="方正粗宋简体" w:hAnsi="方正粗宋简体" w:eastAsia="方正粗宋简体" w:cs="宋体"/>
          <w:b/>
          <w:sz w:val="40"/>
          <w:szCs w:val="28"/>
        </w:rPr>
        <w:t>公开招聘工作人员招聘计划表</w:t>
      </w:r>
      <w:bookmarkEnd w:id="0"/>
    </w:p>
    <w:tbl>
      <w:tblPr>
        <w:tblStyle w:val="2"/>
        <w:tblW w:w="14342" w:type="dxa"/>
        <w:tblInd w:w="11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78"/>
        <w:gridCol w:w="1121"/>
        <w:gridCol w:w="1682"/>
        <w:gridCol w:w="709"/>
        <w:gridCol w:w="3846"/>
        <w:gridCol w:w="1275"/>
        <w:gridCol w:w="1134"/>
        <w:gridCol w:w="36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30" w:hRule="atLeast"/>
        </w:trPr>
        <w:tc>
          <w:tcPr>
            <w:tcW w:w="878" w:type="dxa"/>
            <w:shd w:val="clear" w:color="000000" w:fill="FFFFFF"/>
            <w:vAlign w:val="center"/>
          </w:tcPr>
          <w:p>
            <w:pPr>
              <w:widowControl/>
              <w:jc w:val="center"/>
              <w:rPr>
                <w:rFonts w:ascii="宋体" w:hAnsi="宋体" w:cs="宋体"/>
                <w:b/>
                <w:bCs/>
                <w:kern w:val="0"/>
                <w:sz w:val="24"/>
              </w:rPr>
            </w:pPr>
            <w:r>
              <w:rPr>
                <w:rFonts w:hint="eastAsia" w:ascii="宋体" w:hAnsi="宋体" w:cs="宋体"/>
                <w:b/>
                <w:bCs/>
                <w:kern w:val="0"/>
                <w:sz w:val="24"/>
              </w:rPr>
              <w:t>岗位</w:t>
            </w:r>
          </w:p>
          <w:p>
            <w:pPr>
              <w:widowControl/>
              <w:jc w:val="center"/>
              <w:rPr>
                <w:rFonts w:ascii="宋体" w:hAnsi="宋体" w:cs="宋体"/>
                <w:b/>
                <w:bCs/>
                <w:kern w:val="0"/>
                <w:sz w:val="24"/>
              </w:rPr>
            </w:pPr>
            <w:r>
              <w:rPr>
                <w:rFonts w:hint="eastAsia" w:ascii="宋体" w:hAnsi="宋体" w:cs="宋体"/>
                <w:b/>
                <w:bCs/>
                <w:kern w:val="0"/>
                <w:sz w:val="24"/>
              </w:rPr>
              <w:t>编号</w:t>
            </w:r>
          </w:p>
        </w:tc>
        <w:tc>
          <w:tcPr>
            <w:tcW w:w="1121" w:type="dxa"/>
            <w:shd w:val="clear" w:color="000000" w:fill="FFFFFF"/>
            <w:vAlign w:val="center"/>
          </w:tcPr>
          <w:p>
            <w:pPr>
              <w:widowControl/>
              <w:jc w:val="center"/>
              <w:rPr>
                <w:rFonts w:ascii="宋体" w:hAnsi="宋体" w:cs="宋体"/>
                <w:b/>
                <w:bCs/>
                <w:kern w:val="0"/>
                <w:sz w:val="24"/>
              </w:rPr>
            </w:pPr>
            <w:r>
              <w:rPr>
                <w:rFonts w:hint="eastAsia" w:ascii="宋体" w:hAnsi="宋体" w:cs="宋体"/>
                <w:b/>
                <w:bCs/>
                <w:kern w:val="0"/>
                <w:sz w:val="24"/>
              </w:rPr>
              <w:t>部门</w:t>
            </w:r>
          </w:p>
        </w:tc>
        <w:tc>
          <w:tcPr>
            <w:tcW w:w="1682" w:type="dxa"/>
            <w:shd w:val="clear" w:color="000000" w:fill="FFFFFF"/>
            <w:vAlign w:val="center"/>
          </w:tcPr>
          <w:p>
            <w:pPr>
              <w:widowControl/>
              <w:jc w:val="center"/>
              <w:rPr>
                <w:rFonts w:ascii="宋体" w:hAnsi="宋体" w:cs="宋体"/>
                <w:b/>
                <w:bCs/>
                <w:kern w:val="0"/>
                <w:sz w:val="24"/>
              </w:rPr>
            </w:pPr>
            <w:r>
              <w:rPr>
                <w:rFonts w:hint="eastAsia" w:ascii="宋体" w:hAnsi="宋体" w:cs="宋体"/>
                <w:b/>
                <w:bCs/>
                <w:kern w:val="0"/>
                <w:sz w:val="24"/>
              </w:rPr>
              <w:t>岗位</w:t>
            </w:r>
          </w:p>
        </w:tc>
        <w:tc>
          <w:tcPr>
            <w:tcW w:w="709" w:type="dxa"/>
            <w:shd w:val="clear" w:color="000000" w:fill="FFFFFF"/>
            <w:vAlign w:val="center"/>
          </w:tcPr>
          <w:p>
            <w:pPr>
              <w:widowControl/>
              <w:jc w:val="center"/>
              <w:rPr>
                <w:rFonts w:ascii="宋体" w:hAnsi="宋体" w:cs="宋体"/>
                <w:b/>
                <w:bCs/>
                <w:kern w:val="0"/>
                <w:sz w:val="24"/>
              </w:rPr>
            </w:pPr>
            <w:r>
              <w:rPr>
                <w:rFonts w:hint="eastAsia" w:ascii="宋体" w:hAnsi="宋体" w:cs="宋体"/>
                <w:b/>
                <w:bCs/>
                <w:kern w:val="0"/>
                <w:sz w:val="24"/>
              </w:rPr>
              <w:t>计划</w:t>
            </w:r>
            <w:r>
              <w:rPr>
                <w:rFonts w:hint="eastAsia" w:ascii="宋体" w:hAnsi="宋体" w:cs="宋体"/>
                <w:b/>
                <w:bCs/>
                <w:kern w:val="0"/>
                <w:sz w:val="24"/>
              </w:rPr>
              <w:br w:type="textWrapping"/>
            </w:r>
            <w:r>
              <w:rPr>
                <w:rFonts w:hint="eastAsia" w:ascii="宋体" w:hAnsi="宋体" w:cs="宋体"/>
                <w:b/>
                <w:bCs/>
                <w:kern w:val="0"/>
                <w:sz w:val="24"/>
              </w:rPr>
              <w:t>人数</w:t>
            </w:r>
          </w:p>
        </w:tc>
        <w:tc>
          <w:tcPr>
            <w:tcW w:w="3846" w:type="dxa"/>
            <w:shd w:val="clear" w:color="000000" w:fill="FFFFFF"/>
            <w:vAlign w:val="center"/>
          </w:tcPr>
          <w:p>
            <w:pPr>
              <w:widowControl/>
              <w:jc w:val="center"/>
              <w:rPr>
                <w:rFonts w:ascii="宋体" w:hAnsi="宋体" w:cs="宋体"/>
                <w:b/>
                <w:bCs/>
                <w:kern w:val="0"/>
                <w:sz w:val="24"/>
              </w:rPr>
            </w:pPr>
            <w:r>
              <w:rPr>
                <w:rFonts w:hint="eastAsia" w:ascii="宋体" w:hAnsi="宋体" w:cs="宋体"/>
                <w:b/>
                <w:bCs/>
                <w:kern w:val="0"/>
                <w:sz w:val="24"/>
              </w:rPr>
              <w:t>学科或专业</w:t>
            </w:r>
          </w:p>
        </w:tc>
        <w:tc>
          <w:tcPr>
            <w:tcW w:w="1275" w:type="dxa"/>
            <w:shd w:val="clear" w:color="000000" w:fill="FFFFFF"/>
            <w:vAlign w:val="center"/>
          </w:tcPr>
          <w:p>
            <w:pPr>
              <w:widowControl/>
              <w:jc w:val="center"/>
              <w:rPr>
                <w:rFonts w:ascii="宋体" w:hAnsi="宋体" w:cs="宋体"/>
                <w:b/>
                <w:bCs/>
                <w:kern w:val="0"/>
                <w:sz w:val="24"/>
              </w:rPr>
            </w:pPr>
            <w:r>
              <w:rPr>
                <w:rFonts w:hint="eastAsia" w:ascii="宋体" w:hAnsi="宋体" w:cs="宋体"/>
                <w:b/>
                <w:bCs/>
                <w:kern w:val="0"/>
                <w:sz w:val="24"/>
              </w:rPr>
              <w:t>学历学位</w:t>
            </w:r>
          </w:p>
        </w:tc>
        <w:tc>
          <w:tcPr>
            <w:tcW w:w="1134" w:type="dxa"/>
            <w:shd w:val="clear" w:color="000000" w:fill="FFFFFF"/>
            <w:vAlign w:val="center"/>
          </w:tcPr>
          <w:p>
            <w:pPr>
              <w:widowControl/>
              <w:jc w:val="center"/>
              <w:rPr>
                <w:rFonts w:ascii="宋体" w:hAnsi="宋体" w:cs="宋体"/>
                <w:b/>
                <w:bCs/>
                <w:kern w:val="0"/>
                <w:sz w:val="24"/>
              </w:rPr>
            </w:pPr>
            <w:r>
              <w:rPr>
                <w:rFonts w:hint="eastAsia" w:ascii="宋体" w:hAnsi="宋体" w:cs="宋体"/>
                <w:b/>
                <w:bCs/>
                <w:kern w:val="0"/>
                <w:sz w:val="24"/>
              </w:rPr>
              <w:t>年龄</w:t>
            </w:r>
          </w:p>
        </w:tc>
        <w:tc>
          <w:tcPr>
            <w:tcW w:w="3697" w:type="dxa"/>
            <w:shd w:val="clear" w:color="000000" w:fill="FFFFFF"/>
            <w:vAlign w:val="center"/>
          </w:tcPr>
          <w:p>
            <w:pPr>
              <w:widowControl/>
              <w:jc w:val="center"/>
              <w:rPr>
                <w:rFonts w:ascii="宋体" w:hAnsi="宋体" w:cs="宋体"/>
                <w:b/>
                <w:bCs/>
                <w:kern w:val="0"/>
                <w:sz w:val="24"/>
              </w:rPr>
            </w:pPr>
            <w:r>
              <w:rPr>
                <w:rFonts w:hint="eastAsia" w:ascii="宋体" w:hAnsi="宋体" w:cs="宋体"/>
                <w:b/>
                <w:bCs/>
                <w:kern w:val="0"/>
                <w:sz w:val="24"/>
              </w:rPr>
              <w:t>其他要求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trPr>
        <w:tc>
          <w:tcPr>
            <w:tcW w:w="878" w:type="dxa"/>
            <w:shd w:val="clear" w:color="auto" w:fill="auto"/>
            <w:vAlign w:val="center"/>
          </w:tcPr>
          <w:p>
            <w:pPr>
              <w:widowControl/>
              <w:jc w:val="center"/>
              <w:rPr>
                <w:rFonts w:ascii="宋体" w:hAnsi="宋体" w:cs="宋体"/>
                <w:color w:val="FF0000"/>
                <w:kern w:val="0"/>
                <w:sz w:val="24"/>
              </w:rPr>
            </w:pPr>
            <w:r>
              <w:rPr>
                <w:rFonts w:hint="eastAsia" w:ascii="宋体" w:hAnsi="宋体" w:cs="宋体"/>
                <w:color w:val="FF0000"/>
                <w:kern w:val="0"/>
                <w:sz w:val="24"/>
              </w:rPr>
              <w:t>　</w:t>
            </w:r>
          </w:p>
        </w:tc>
        <w:tc>
          <w:tcPr>
            <w:tcW w:w="1121"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教学</w:t>
            </w:r>
          </w:p>
          <w:p>
            <w:pPr>
              <w:widowControl/>
              <w:jc w:val="center"/>
              <w:rPr>
                <w:rFonts w:ascii="宋体" w:hAnsi="宋体" w:cs="宋体"/>
                <w:kern w:val="0"/>
                <w:sz w:val="24"/>
              </w:rPr>
            </w:pPr>
            <w:r>
              <w:rPr>
                <w:rFonts w:hint="eastAsia" w:ascii="宋体" w:hAnsi="宋体" w:cs="宋体"/>
                <w:kern w:val="0"/>
                <w:sz w:val="24"/>
              </w:rPr>
              <w:t>部门</w:t>
            </w:r>
          </w:p>
        </w:tc>
        <w:tc>
          <w:tcPr>
            <w:tcW w:w="1682"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专技岗1（数控技术专业教师）</w:t>
            </w:r>
          </w:p>
        </w:tc>
        <w:tc>
          <w:tcPr>
            <w:tcW w:w="709"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3846"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机械制造及其自动化、机械设计及理论</w:t>
            </w:r>
          </w:p>
        </w:tc>
        <w:tc>
          <w:tcPr>
            <w:tcW w:w="1275"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硕士研究生及以上</w:t>
            </w:r>
          </w:p>
        </w:tc>
        <w:tc>
          <w:tcPr>
            <w:tcW w:w="1134"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30周岁及以下</w:t>
            </w:r>
          </w:p>
        </w:tc>
        <w:tc>
          <w:tcPr>
            <w:tcW w:w="3697"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应届毕业生；本、硕阶段须均为相关专业。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trPr>
        <w:tc>
          <w:tcPr>
            <w:tcW w:w="878" w:type="dxa"/>
            <w:shd w:val="clear" w:color="auto" w:fill="auto"/>
            <w:vAlign w:val="center"/>
          </w:tcPr>
          <w:p>
            <w:pPr>
              <w:widowControl/>
              <w:jc w:val="center"/>
              <w:rPr>
                <w:rFonts w:ascii="宋体" w:hAnsi="宋体" w:cs="宋体"/>
                <w:color w:val="FF0000"/>
                <w:kern w:val="0"/>
                <w:sz w:val="24"/>
              </w:rPr>
            </w:pPr>
            <w:r>
              <w:rPr>
                <w:rFonts w:hint="eastAsia" w:ascii="宋体" w:hAnsi="宋体" w:cs="宋体"/>
                <w:color w:val="FF0000"/>
                <w:kern w:val="0"/>
                <w:sz w:val="24"/>
              </w:rPr>
              <w:t>　</w:t>
            </w:r>
          </w:p>
        </w:tc>
        <w:tc>
          <w:tcPr>
            <w:tcW w:w="1121"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教学</w:t>
            </w:r>
          </w:p>
          <w:p>
            <w:pPr>
              <w:widowControl/>
              <w:jc w:val="center"/>
              <w:rPr>
                <w:rFonts w:ascii="宋体" w:hAnsi="宋体" w:cs="宋体"/>
                <w:kern w:val="0"/>
                <w:sz w:val="24"/>
              </w:rPr>
            </w:pPr>
            <w:r>
              <w:rPr>
                <w:rFonts w:hint="eastAsia" w:ascii="宋体" w:hAnsi="宋体" w:cs="宋体"/>
                <w:kern w:val="0"/>
                <w:sz w:val="24"/>
              </w:rPr>
              <w:t>部门</w:t>
            </w:r>
          </w:p>
        </w:tc>
        <w:tc>
          <w:tcPr>
            <w:tcW w:w="1682"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专技岗2（电气技术专业教师）</w:t>
            </w:r>
          </w:p>
        </w:tc>
        <w:tc>
          <w:tcPr>
            <w:tcW w:w="709"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3846"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电力系统及其自动化、电力电子与电力传动、控制理论与控制工程</w:t>
            </w:r>
          </w:p>
        </w:tc>
        <w:tc>
          <w:tcPr>
            <w:tcW w:w="1275"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硕士研究生及以上</w:t>
            </w:r>
          </w:p>
        </w:tc>
        <w:tc>
          <w:tcPr>
            <w:tcW w:w="1134"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30周岁及以下</w:t>
            </w:r>
          </w:p>
        </w:tc>
        <w:tc>
          <w:tcPr>
            <w:tcW w:w="3697"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应届毕业生；本、硕阶段须均为相关专业。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05" w:hRule="atLeast"/>
        </w:trPr>
        <w:tc>
          <w:tcPr>
            <w:tcW w:w="878" w:type="dxa"/>
            <w:shd w:val="clear" w:color="auto" w:fill="auto"/>
            <w:vAlign w:val="center"/>
          </w:tcPr>
          <w:p>
            <w:pPr>
              <w:widowControl/>
              <w:jc w:val="center"/>
              <w:rPr>
                <w:rFonts w:ascii="宋体" w:hAnsi="宋体" w:cs="宋体"/>
                <w:color w:val="FF0000"/>
                <w:kern w:val="0"/>
                <w:sz w:val="24"/>
              </w:rPr>
            </w:pPr>
            <w:r>
              <w:rPr>
                <w:rFonts w:hint="eastAsia" w:ascii="宋体" w:hAnsi="宋体" w:cs="宋体"/>
                <w:color w:val="FF0000"/>
                <w:kern w:val="0"/>
                <w:sz w:val="24"/>
              </w:rPr>
              <w:t>　</w:t>
            </w:r>
          </w:p>
        </w:tc>
        <w:tc>
          <w:tcPr>
            <w:tcW w:w="1121"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教学</w:t>
            </w:r>
          </w:p>
          <w:p>
            <w:pPr>
              <w:widowControl/>
              <w:jc w:val="center"/>
              <w:rPr>
                <w:rFonts w:ascii="宋体" w:hAnsi="宋体" w:cs="宋体"/>
                <w:kern w:val="0"/>
                <w:sz w:val="24"/>
              </w:rPr>
            </w:pPr>
            <w:r>
              <w:rPr>
                <w:rFonts w:hint="eastAsia" w:ascii="宋体" w:hAnsi="宋体" w:cs="宋体"/>
                <w:kern w:val="0"/>
                <w:sz w:val="24"/>
              </w:rPr>
              <w:t>部门</w:t>
            </w:r>
          </w:p>
        </w:tc>
        <w:tc>
          <w:tcPr>
            <w:tcW w:w="1682"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专技岗3（思政德育课教师）</w:t>
            </w:r>
          </w:p>
        </w:tc>
        <w:tc>
          <w:tcPr>
            <w:tcW w:w="709"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3846"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哲学类（马克思主义哲学专业）、政治学类（政治学理论，中外政治制度，科学社会主义与国际共产主义运动，中共党史，马克思主义理论与思想政治教育）、马克思主义理论类（马克思主义基本原理，马克思主义发展史，马克思主义中国化研究，国外马克思主义研究，思想政治教育）</w:t>
            </w:r>
          </w:p>
        </w:tc>
        <w:tc>
          <w:tcPr>
            <w:tcW w:w="1275"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硕士研究生及以上</w:t>
            </w:r>
          </w:p>
        </w:tc>
        <w:tc>
          <w:tcPr>
            <w:tcW w:w="1134"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30周岁及以下</w:t>
            </w:r>
          </w:p>
        </w:tc>
        <w:tc>
          <w:tcPr>
            <w:tcW w:w="3697"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应届毕业生；中共党员（含中共预备党员）；本、硕阶段须均为相关专业。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5" w:hRule="atLeast"/>
        </w:trPr>
        <w:tc>
          <w:tcPr>
            <w:tcW w:w="878" w:type="dxa"/>
            <w:shd w:val="clear" w:color="auto" w:fill="auto"/>
            <w:vAlign w:val="center"/>
          </w:tcPr>
          <w:p>
            <w:pPr>
              <w:widowControl/>
              <w:jc w:val="center"/>
              <w:rPr>
                <w:rFonts w:ascii="宋体" w:hAnsi="宋体" w:cs="宋体"/>
                <w:color w:val="FF0000"/>
                <w:kern w:val="0"/>
                <w:sz w:val="24"/>
              </w:rPr>
            </w:pPr>
            <w:r>
              <w:rPr>
                <w:rFonts w:hint="eastAsia" w:ascii="宋体" w:hAnsi="宋体" w:cs="宋体"/>
                <w:color w:val="FF0000"/>
                <w:kern w:val="0"/>
                <w:sz w:val="24"/>
              </w:rPr>
              <w:t>　</w:t>
            </w:r>
          </w:p>
        </w:tc>
        <w:tc>
          <w:tcPr>
            <w:tcW w:w="1121" w:type="dxa"/>
            <w:shd w:val="clear" w:color="000000" w:fill="FFFFFF"/>
            <w:vAlign w:val="center"/>
          </w:tcPr>
          <w:p>
            <w:pPr>
              <w:widowControl/>
              <w:jc w:val="center"/>
              <w:rPr>
                <w:rFonts w:hint="eastAsia" w:ascii="宋体" w:hAnsi="宋体" w:cs="宋体"/>
                <w:kern w:val="0"/>
                <w:sz w:val="24"/>
              </w:rPr>
            </w:pPr>
            <w:r>
              <w:rPr>
                <w:rFonts w:hint="eastAsia" w:ascii="宋体" w:hAnsi="宋体" w:cs="宋体"/>
                <w:kern w:val="0"/>
                <w:sz w:val="24"/>
              </w:rPr>
              <w:t>后勤保障部门</w:t>
            </w:r>
          </w:p>
        </w:tc>
        <w:tc>
          <w:tcPr>
            <w:tcW w:w="1682"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专技岗4（医务室医生兼健康教师）</w:t>
            </w:r>
          </w:p>
        </w:tc>
        <w:tc>
          <w:tcPr>
            <w:tcW w:w="709"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3846"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临床医学、预防医学、运动医学、急诊医学</w:t>
            </w:r>
          </w:p>
        </w:tc>
        <w:tc>
          <w:tcPr>
            <w:tcW w:w="1275"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本科学士及以上</w:t>
            </w:r>
          </w:p>
        </w:tc>
        <w:tc>
          <w:tcPr>
            <w:tcW w:w="1134"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30周岁及以下</w:t>
            </w:r>
          </w:p>
        </w:tc>
        <w:tc>
          <w:tcPr>
            <w:tcW w:w="3697"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应届毕业生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75" w:hRule="atLeast"/>
        </w:trPr>
        <w:tc>
          <w:tcPr>
            <w:tcW w:w="878" w:type="dxa"/>
            <w:shd w:val="clear" w:color="auto" w:fill="auto"/>
            <w:vAlign w:val="center"/>
          </w:tcPr>
          <w:p>
            <w:pPr>
              <w:widowControl/>
              <w:jc w:val="center"/>
              <w:rPr>
                <w:rFonts w:ascii="宋体" w:hAnsi="宋体" w:cs="宋体"/>
                <w:color w:val="FF0000"/>
                <w:kern w:val="0"/>
                <w:sz w:val="24"/>
              </w:rPr>
            </w:pPr>
            <w:r>
              <w:rPr>
                <w:rFonts w:hint="eastAsia" w:ascii="宋体" w:hAnsi="宋体" w:cs="宋体"/>
                <w:color w:val="FF0000"/>
                <w:kern w:val="0"/>
                <w:sz w:val="24"/>
              </w:rPr>
              <w:t>　</w:t>
            </w:r>
          </w:p>
        </w:tc>
        <w:tc>
          <w:tcPr>
            <w:tcW w:w="1121"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教学</w:t>
            </w:r>
          </w:p>
          <w:p>
            <w:pPr>
              <w:widowControl/>
              <w:jc w:val="center"/>
              <w:rPr>
                <w:rFonts w:ascii="宋体" w:hAnsi="宋体" w:cs="宋体"/>
                <w:kern w:val="0"/>
                <w:sz w:val="24"/>
              </w:rPr>
            </w:pPr>
            <w:r>
              <w:rPr>
                <w:rFonts w:hint="eastAsia" w:ascii="宋体" w:hAnsi="宋体" w:cs="宋体"/>
                <w:kern w:val="0"/>
                <w:sz w:val="24"/>
              </w:rPr>
              <w:t>部门</w:t>
            </w:r>
          </w:p>
        </w:tc>
        <w:tc>
          <w:tcPr>
            <w:tcW w:w="1682"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专技岗5（数控技术实训指导教师）</w:t>
            </w:r>
          </w:p>
        </w:tc>
        <w:tc>
          <w:tcPr>
            <w:tcW w:w="709"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3846"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机械设计制造及其自动化、机械工程及自动化；机械设计及制造、机械制造工艺与设备</w:t>
            </w:r>
          </w:p>
        </w:tc>
        <w:tc>
          <w:tcPr>
            <w:tcW w:w="1275"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本科学士及以上</w:t>
            </w:r>
          </w:p>
        </w:tc>
        <w:tc>
          <w:tcPr>
            <w:tcW w:w="1134"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35周岁及以下</w:t>
            </w:r>
          </w:p>
        </w:tc>
        <w:tc>
          <w:tcPr>
            <w:tcW w:w="3697"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具有3年及以上相关专业工作经历，签订劳动（聘用）合同并交纳社会保险视为有效工作经历；具备机械类相关工种高级工及以上职业技术资格（或具有工程师及以上专业技术职务）。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75" w:hRule="atLeast"/>
        </w:trPr>
        <w:tc>
          <w:tcPr>
            <w:tcW w:w="878" w:type="dxa"/>
            <w:shd w:val="clear" w:color="auto" w:fill="auto"/>
            <w:vAlign w:val="center"/>
          </w:tcPr>
          <w:p>
            <w:pPr>
              <w:widowControl/>
              <w:jc w:val="center"/>
              <w:rPr>
                <w:rFonts w:ascii="宋体" w:hAnsi="宋体" w:cs="宋体"/>
                <w:color w:val="FF0000"/>
                <w:kern w:val="0"/>
                <w:sz w:val="24"/>
              </w:rPr>
            </w:pPr>
            <w:r>
              <w:rPr>
                <w:rFonts w:hint="eastAsia" w:ascii="宋体" w:hAnsi="宋体" w:cs="宋体"/>
                <w:color w:val="FF0000"/>
                <w:kern w:val="0"/>
                <w:sz w:val="24"/>
              </w:rPr>
              <w:t>　</w:t>
            </w:r>
          </w:p>
        </w:tc>
        <w:tc>
          <w:tcPr>
            <w:tcW w:w="1121"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教学</w:t>
            </w:r>
          </w:p>
          <w:p>
            <w:pPr>
              <w:widowControl/>
              <w:jc w:val="center"/>
              <w:rPr>
                <w:rFonts w:ascii="宋体" w:hAnsi="宋体" w:cs="宋体"/>
                <w:kern w:val="0"/>
                <w:sz w:val="24"/>
              </w:rPr>
            </w:pPr>
            <w:r>
              <w:rPr>
                <w:rFonts w:hint="eastAsia" w:ascii="宋体" w:hAnsi="宋体" w:cs="宋体"/>
                <w:kern w:val="0"/>
                <w:sz w:val="24"/>
              </w:rPr>
              <w:t>部门</w:t>
            </w:r>
          </w:p>
        </w:tc>
        <w:tc>
          <w:tcPr>
            <w:tcW w:w="1682"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专技岗6（电气技术实训指导教师）</w:t>
            </w:r>
          </w:p>
        </w:tc>
        <w:tc>
          <w:tcPr>
            <w:tcW w:w="709"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3846"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电气工程及其自动化、自动化、电气工程与自动化、电机电器及其控制、电力系统及其自动化、工业自动化、电气技术。</w:t>
            </w:r>
          </w:p>
        </w:tc>
        <w:tc>
          <w:tcPr>
            <w:tcW w:w="1275"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本科学士及以上</w:t>
            </w:r>
          </w:p>
        </w:tc>
        <w:tc>
          <w:tcPr>
            <w:tcW w:w="1134"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35周岁及以下</w:t>
            </w:r>
          </w:p>
        </w:tc>
        <w:tc>
          <w:tcPr>
            <w:tcW w:w="3697"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具有3年及以上相关专业工作经历，签订劳动（聘用）合同并交纳社会保险视为有效工作经历；具有电工高级工及以上职业资格（或具有工程师及以上专业技术职务）。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75" w:hRule="atLeast"/>
        </w:trPr>
        <w:tc>
          <w:tcPr>
            <w:tcW w:w="878" w:type="dxa"/>
            <w:shd w:val="clear" w:color="auto" w:fill="auto"/>
            <w:vAlign w:val="center"/>
          </w:tcPr>
          <w:p>
            <w:pPr>
              <w:widowControl/>
              <w:jc w:val="center"/>
              <w:rPr>
                <w:rFonts w:ascii="宋体" w:hAnsi="宋体" w:cs="宋体"/>
                <w:color w:val="FF0000"/>
                <w:kern w:val="0"/>
                <w:sz w:val="24"/>
              </w:rPr>
            </w:pPr>
            <w:r>
              <w:rPr>
                <w:rFonts w:hint="eastAsia" w:ascii="宋体" w:hAnsi="宋体" w:cs="宋体"/>
                <w:color w:val="FF0000"/>
                <w:kern w:val="0"/>
                <w:sz w:val="24"/>
              </w:rPr>
              <w:t>　</w:t>
            </w:r>
          </w:p>
        </w:tc>
        <w:tc>
          <w:tcPr>
            <w:tcW w:w="1121"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学管</w:t>
            </w:r>
          </w:p>
          <w:p>
            <w:pPr>
              <w:widowControl/>
              <w:jc w:val="center"/>
              <w:rPr>
                <w:rFonts w:ascii="宋体" w:hAnsi="宋体" w:cs="宋体"/>
                <w:kern w:val="0"/>
                <w:sz w:val="24"/>
              </w:rPr>
            </w:pPr>
            <w:r>
              <w:rPr>
                <w:rFonts w:hint="eastAsia" w:ascii="宋体" w:hAnsi="宋体" w:cs="宋体"/>
                <w:kern w:val="0"/>
                <w:sz w:val="24"/>
              </w:rPr>
              <w:t>部门</w:t>
            </w:r>
          </w:p>
        </w:tc>
        <w:tc>
          <w:tcPr>
            <w:tcW w:w="1682"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管理岗（辅导员）</w:t>
            </w:r>
          </w:p>
        </w:tc>
        <w:tc>
          <w:tcPr>
            <w:tcW w:w="709"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3846"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哲学类、法学类、马克思主义理论类、教育学类、心理学类、公共管理类、机械设计与制造类、电气工程及电子信息类</w:t>
            </w:r>
          </w:p>
        </w:tc>
        <w:tc>
          <w:tcPr>
            <w:tcW w:w="1275"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本科学士及以上</w:t>
            </w:r>
          </w:p>
        </w:tc>
        <w:tc>
          <w:tcPr>
            <w:tcW w:w="1134" w:type="dxa"/>
            <w:shd w:val="clear" w:color="auto" w:fill="auto"/>
            <w:vAlign w:val="center"/>
          </w:tcPr>
          <w:p>
            <w:pPr>
              <w:widowControl/>
              <w:jc w:val="center"/>
              <w:rPr>
                <w:rFonts w:ascii="宋体" w:hAnsi="宋体" w:cs="宋体"/>
                <w:kern w:val="0"/>
                <w:sz w:val="24"/>
              </w:rPr>
            </w:pPr>
            <w:r>
              <w:rPr>
                <w:rFonts w:hint="eastAsia" w:ascii="宋体" w:hAnsi="宋体" w:cs="宋体"/>
                <w:kern w:val="0"/>
                <w:sz w:val="24"/>
              </w:rPr>
              <w:t>35周岁及以下</w:t>
            </w:r>
          </w:p>
        </w:tc>
        <w:tc>
          <w:tcPr>
            <w:tcW w:w="3697"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中共党员（含中共预备党员）；具有3年及以上党务或辅导员岗位工作经历，签订劳动（聘用）合同并交纳社会保险视为有效工作经历；适合男性，主要从事学生思想政治、心理辅导、男生宿舍巡查和夜间值班工作。</w:t>
            </w:r>
          </w:p>
        </w:tc>
      </w:tr>
    </w:tbl>
    <w:p>
      <w:pPr>
        <w:ind w:firstLine="480" w:firstLineChars="200"/>
        <w:rPr>
          <w:rFonts w:ascii="宋体" w:hAnsi="宋体"/>
          <w:sz w:val="28"/>
          <w:szCs w:val="28"/>
        </w:rPr>
        <w:sectPr>
          <w:pgSz w:w="16838" w:h="11906" w:orient="landscape"/>
          <w:pgMar w:top="1800" w:right="1440" w:bottom="1800" w:left="1440" w:header="851" w:footer="992" w:gutter="0"/>
          <w:cols w:space="720" w:num="1"/>
          <w:docGrid w:type="lines" w:linePitch="312" w:charSpace="0"/>
        </w:sectPr>
      </w:pPr>
      <w:r>
        <w:rPr>
          <w:rFonts w:hint="eastAsia" w:ascii="宋体" w:hAnsi="宋体"/>
          <w:sz w:val="24"/>
        </w:rPr>
        <w:t>备注：1.年龄计算时间截止2021年</w:t>
      </w:r>
      <w:r>
        <w:rPr>
          <w:rFonts w:ascii="宋体" w:hAnsi="宋体"/>
          <w:sz w:val="24"/>
        </w:rPr>
        <w:t>4</w:t>
      </w:r>
      <w:r>
        <w:rPr>
          <w:rFonts w:hint="eastAsia" w:ascii="宋体" w:hAnsi="宋体"/>
          <w:sz w:val="24"/>
        </w:rPr>
        <w:t>月</w:t>
      </w:r>
      <w:r>
        <w:rPr>
          <w:rFonts w:ascii="宋体" w:hAnsi="宋体"/>
          <w:sz w:val="24"/>
        </w:rPr>
        <w:t>12</w:t>
      </w:r>
      <w:r>
        <w:rPr>
          <w:rFonts w:hint="eastAsia" w:ascii="宋体" w:hAnsi="宋体"/>
          <w:sz w:val="24"/>
        </w:rPr>
        <w:t>日；2.三年以上工作经历是指截止到2021年</w:t>
      </w:r>
      <w:r>
        <w:rPr>
          <w:rFonts w:ascii="宋体" w:hAnsi="宋体"/>
          <w:sz w:val="24"/>
        </w:rPr>
        <w:t>4</w:t>
      </w:r>
      <w:r>
        <w:rPr>
          <w:rFonts w:hint="eastAsia" w:ascii="宋体" w:hAnsi="宋体"/>
          <w:sz w:val="24"/>
        </w:rPr>
        <w:t>月</w:t>
      </w:r>
      <w:r>
        <w:rPr>
          <w:rFonts w:ascii="宋体" w:hAnsi="宋体"/>
          <w:sz w:val="24"/>
        </w:rPr>
        <w:t>12</w:t>
      </w:r>
      <w:r>
        <w:rPr>
          <w:rFonts w:hint="eastAsia" w:ascii="宋体" w:hAnsi="宋体"/>
          <w:sz w:val="24"/>
        </w:rPr>
        <w:t>日；3.应届毕业生是指2021年毕业且未落实工作的人员，含2019、2020年毕业后未就业内将户口、档案保留在原毕业学校或托管在各级毕业生就业主管部门、人才交流服务机构和公共就业服务机构，可按应届毕业生对待的人员。201</w:t>
      </w:r>
      <w:r>
        <w:rPr>
          <w:rFonts w:ascii="宋体" w:hAnsi="宋体"/>
          <w:sz w:val="24"/>
        </w:rPr>
        <w:t>9</w:t>
      </w:r>
      <w:r>
        <w:rPr>
          <w:rFonts w:hint="eastAsia" w:ascii="宋体" w:hAnsi="宋体"/>
          <w:sz w:val="24"/>
        </w:rPr>
        <w:t>年、20</w:t>
      </w:r>
      <w:r>
        <w:rPr>
          <w:rFonts w:ascii="宋体" w:hAnsi="宋体"/>
          <w:sz w:val="24"/>
        </w:rPr>
        <w:t>20</w:t>
      </w:r>
      <w:r>
        <w:rPr>
          <w:rFonts w:hint="eastAsia" w:ascii="宋体" w:hAnsi="宋体"/>
          <w:sz w:val="24"/>
        </w:rPr>
        <w:t>年、202</w:t>
      </w:r>
      <w:r>
        <w:rPr>
          <w:rFonts w:ascii="宋体" w:hAnsi="宋体"/>
          <w:sz w:val="24"/>
        </w:rPr>
        <w:t>1</w:t>
      </w:r>
      <w:r>
        <w:rPr>
          <w:rFonts w:hint="eastAsia" w:ascii="宋体" w:hAnsi="宋体"/>
          <w:sz w:val="24"/>
        </w:rPr>
        <w:t>年毕业的能提供报到证或派遣证的非全日制毕业生可按照应届毕业生对待。</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方正粗宋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0273EB"/>
    <w:rsid w:val="570273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2021-03-31T07:07:00Z</dcterms:created>
  <dc:creator>千与千寻</dc:creator>
  <cp:lastModifiedBy>千与千寻</cp:lastModifiedBy>
  <dcterms:modified xsi:type="dcterms:W3CDTF">2021-03-31T07:09:28Z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49A98FA0F990477DB7254390D494C988</vt:lpwstr>
  </property>
</Properties>
</file>