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640" w:lineRule="exact"/>
        <w:jc w:val="both"/>
        <w:rPr>
          <w:rFonts w:ascii="宋体" w:cs="宋体" w:hint="eastAsia"/>
          <w:w w:val="85"/>
          <w:sz w:val="32"/>
          <w:szCs w:val="32"/>
        </w:rPr>
      </w:pPr>
      <w:bookmarkStart w:id="0" w:name="_Toc6286_WPSOffice_Level1"/>
      <w:r>
        <w:rPr>
          <w:rFonts w:ascii="宋体" w:cs="宋体" w:hint="eastAsia"/>
          <w:w w:val="85"/>
          <w:sz w:val="32"/>
          <w:szCs w:val="32"/>
        </w:rPr>
        <w:t>附件2：</w:t>
      </w:r>
    </w:p>
    <w:p>
      <w:pPr>
        <w:adjustRightInd w:val="0"/>
        <w:snapToGrid w:val="0"/>
        <w:spacing w:line="640" w:lineRule="exact"/>
        <w:jc w:val="center"/>
        <w:rPr>
          <w:rFonts w:ascii="宋体" w:cs="宋体"/>
          <w:b/>
          <w:w w:val="85"/>
          <w:sz w:val="44"/>
          <w:szCs w:val="44"/>
        </w:rPr>
      </w:pPr>
      <w:r>
        <w:rPr>
          <w:rFonts w:ascii="宋体" w:cs="宋体"/>
          <w:b/>
          <w:w w:val="85"/>
          <w:sz w:val="44"/>
          <w:szCs w:val="44"/>
        </w:rPr>
        <w:t>厦门港口管理局所属事业单位</w:t>
      </w:r>
      <w:r>
        <w:rPr>
          <w:rFonts w:ascii="宋体" w:cs="宋体" w:hint="eastAsia"/>
          <w:b/>
          <w:w w:val="85"/>
          <w:sz w:val="44"/>
          <w:szCs w:val="44"/>
        </w:rPr>
        <w:t>厦门</w:t>
      </w:r>
      <w:r>
        <w:rPr>
          <w:rFonts w:ascii="宋体" w:cs="宋体"/>
          <w:b/>
          <w:w w:val="85"/>
          <w:sz w:val="44"/>
          <w:szCs w:val="44"/>
        </w:rPr>
        <w:t>港引航站</w:t>
      </w:r>
    </w:p>
    <w:p>
      <w:pPr>
        <w:adjustRightInd w:val="0"/>
        <w:snapToGrid w:val="0"/>
        <w:spacing w:line="640" w:lineRule="exact"/>
        <w:jc w:val="center"/>
        <w:rPr>
          <w:rFonts w:ascii="宋体" w:cs="宋体"/>
          <w:b/>
          <w:w w:val="85"/>
          <w:sz w:val="44"/>
          <w:szCs w:val="44"/>
        </w:rPr>
      </w:pPr>
      <w:r>
        <w:rPr>
          <w:rFonts w:ascii="宋体" w:cs="宋体"/>
          <w:b/>
          <w:w w:val="85"/>
          <w:sz w:val="44"/>
          <w:szCs w:val="44"/>
        </w:rPr>
        <w:t>补充</w:t>
      </w:r>
      <w:r>
        <w:rPr>
          <w:rFonts w:ascii="宋体" w:cs="宋体" w:hint="eastAsia"/>
          <w:b/>
          <w:w w:val="85"/>
          <w:sz w:val="44"/>
          <w:szCs w:val="44"/>
        </w:rPr>
        <w:t>编内工作人员报考指南</w:t>
      </w:r>
      <w:bookmarkEnd w:id="0"/>
    </w:p>
    <w:p>
      <w:pPr>
        <w:adjustRightInd w:val="0"/>
        <w:snapToGrid w:val="0"/>
        <w:spacing w:line="640" w:lineRule="exact"/>
        <w:jc w:val="center"/>
        <w:rPr>
          <w:rFonts w:ascii="宋体" w:cs="宋体"/>
          <w:b/>
          <w:w w:val="85"/>
          <w:sz w:val="44"/>
          <w:szCs w:val="44"/>
        </w:rPr>
      </w:pPr>
      <w:r>
        <w:rPr>
          <w:rFonts w:ascii="宋体" w:cs="宋体"/>
          <w:b/>
          <w:w w:val="85"/>
          <w:sz w:val="44"/>
          <w:szCs w:val="44"/>
        </w:rPr>
        <w:t>（2021年3月）</w:t>
      </w:r>
    </w:p>
    <w:p>
      <w:pPr>
        <w:pStyle w:val="21"/>
        <w:tabs>
          <w:tab w:val="right" w:leader="dot" w:pos="8306"/>
        </w:tabs>
        <w:spacing w:line="440" w:lineRule="exact"/>
        <w:ind w:firstLineChars="1000" w:firstLine="3600"/>
        <w:jc w:val="both"/>
        <w:rPr>
          <w:rFonts w:ascii="仿宋_GB2312" w:eastAsia="仿宋_GB2312"/>
          <w:b/>
          <w:bCs/>
          <w:sz w:val="36"/>
          <w:szCs w:val="36"/>
        </w:rPr>
      </w:pPr>
      <w:r>
        <w:rPr>
          <w:rFonts w:ascii="仿宋_GB2312" w:eastAsia="仿宋_GB2312" w:hint="eastAsia"/>
          <w:b/>
          <w:bCs/>
          <w:sz w:val="36"/>
          <w:szCs w:val="36"/>
        </w:rPr>
        <w:t>目 录</w:t>
      </w:r>
    </w:p>
    <w:p>
      <w:pPr>
        <w:pStyle w:val="21"/>
        <w:tabs>
          <w:tab w:val="right" w:leader="dot" w:pos="8306"/>
        </w:tabs>
        <w:spacing w:line="440" w:lineRule="exact"/>
        <w:rPr>
          <w:sz w:val="24"/>
          <w:szCs w:val="24"/>
        </w:rPr>
      </w:pPr>
      <w:r>
        <w:rPr>
          <w:rFonts w:ascii="仿宋" w:eastAsia="仿宋" w:cs="仿宋" w:hint="eastAsia"/>
          <w:sz w:val="24"/>
          <w:szCs w:val="24"/>
        </w:rPr>
        <w:fldChar w:fldCharType="begin"/>
      </w:r>
      <w:r>
        <w:rPr>
          <w:rFonts w:ascii="仿宋" w:eastAsia="仿宋" w:cs="仿宋" w:hint="eastAsia"/>
          <w:sz w:val="24"/>
          <w:szCs w:val="24"/>
        </w:rPr>
        <w:instrText xml:space="preserve">TOC \o "1-3" \h \u </w:instrText>
      </w:r>
      <w:r>
        <w:rPr>
          <w:rFonts w:ascii="仿宋" w:eastAsia="仿宋" w:cs="仿宋" w:hint="eastAsia"/>
          <w:sz w:val="24"/>
          <w:szCs w:val="24"/>
        </w:rPr>
        <w:fldChar w:fldCharType="separate"/>
      </w:r>
      <w:r>
        <w:fldChar w:fldCharType="begin"/>
      </w:r>
      <w:r>
        <w:instrText>Hyperlink \l "_Toc21700"</w:instrText>
      </w:r>
      <w:r>
        <w:fldChar w:fldCharType="separate"/>
      </w:r>
      <w:r>
        <w:rPr>
          <w:rFonts w:ascii="黑体" w:eastAsia="黑体" w:hint="eastAsia"/>
          <w:bCs/>
          <w:sz w:val="24"/>
          <w:szCs w:val="24"/>
        </w:rPr>
        <w:t>一、基本条件</w:t>
      </w:r>
      <w:r>
        <w:rPr>
          <w:sz w:val="24"/>
          <w:szCs w:val="24"/>
        </w:rPr>
        <w:tab/>
      </w:r>
      <w:r>
        <w:fldChar w:fldCharType="end"/>
      </w:r>
      <w:r>
        <w:rPr>
          <w:rFonts w:ascii="仿宋" w:eastAsia="仿宋" w:cs="仿宋"/>
          <w:sz w:val="24"/>
          <w:szCs w:val="24"/>
        </w:rPr>
        <w:t>1</w:t>
      </w:r>
    </w:p>
    <w:p>
      <w:pPr>
        <w:pStyle w:val="21"/>
        <w:tabs>
          <w:tab w:val="right" w:leader="dot" w:pos="8306"/>
        </w:tabs>
        <w:spacing w:line="440" w:lineRule="exact"/>
        <w:rPr>
          <w:sz w:val="24"/>
          <w:szCs w:val="24"/>
        </w:rPr>
      </w:pPr>
      <w:r>
        <w:fldChar w:fldCharType="begin"/>
      </w:r>
      <w:r>
        <w:instrText>Hyperlink \l "_Toc20519"</w:instrText>
      </w:r>
      <w:r>
        <w:fldChar w:fldCharType="separate"/>
      </w:r>
      <w:r>
        <w:rPr>
          <w:rFonts w:ascii="黑体" w:eastAsia="黑体" w:hint="eastAsia"/>
          <w:bCs/>
          <w:sz w:val="24"/>
          <w:szCs w:val="24"/>
        </w:rPr>
        <w:t>二、不得报考或取消报考（聘用）资格的情形</w:t>
      </w:r>
      <w:r>
        <w:rPr>
          <w:sz w:val="24"/>
          <w:szCs w:val="24"/>
        </w:rPr>
        <w:tab/>
      </w:r>
      <w:r>
        <w:fldChar w:fldCharType="end"/>
      </w:r>
      <w:r>
        <w:rPr>
          <w:rFonts w:ascii="仿宋" w:eastAsia="仿宋" w:cs="仿宋"/>
          <w:sz w:val="24"/>
          <w:szCs w:val="24"/>
        </w:rPr>
        <w:t>1</w:t>
      </w:r>
    </w:p>
    <w:p>
      <w:pPr>
        <w:pStyle w:val="21"/>
        <w:tabs>
          <w:tab w:val="right" w:leader="dot" w:pos="8306"/>
        </w:tabs>
        <w:spacing w:line="440" w:lineRule="exact"/>
        <w:rPr>
          <w:sz w:val="24"/>
          <w:szCs w:val="24"/>
        </w:rPr>
      </w:pPr>
      <w:r>
        <w:fldChar w:fldCharType="begin"/>
      </w:r>
      <w:r>
        <w:instrText>Hyperlink \l "_Toc15484"</w:instrText>
      </w:r>
      <w:r>
        <w:fldChar w:fldCharType="separate"/>
      </w:r>
      <w:r>
        <w:rPr>
          <w:rFonts w:ascii="黑体" w:eastAsia="黑体" w:hint="eastAsia"/>
          <w:bCs/>
          <w:sz w:val="24"/>
          <w:szCs w:val="24"/>
        </w:rPr>
        <w:t>三、报考岗位须知</w:t>
      </w:r>
      <w:r>
        <w:rPr>
          <w:sz w:val="24"/>
          <w:szCs w:val="24"/>
        </w:rPr>
        <w:tab/>
      </w:r>
      <w:r>
        <w:fldChar w:fldCharType="end"/>
      </w:r>
      <w:r>
        <w:rPr>
          <w:rFonts w:ascii="仿宋" w:eastAsia="仿宋" w:cs="仿宋"/>
          <w:sz w:val="24"/>
          <w:szCs w:val="24"/>
        </w:rPr>
        <w:t>2</w:t>
      </w:r>
    </w:p>
    <w:p>
      <w:pPr>
        <w:pStyle w:val="23"/>
        <w:tabs>
          <w:tab w:val="right" w:leader="dot" w:pos="8306"/>
        </w:tabs>
        <w:spacing w:line="440" w:lineRule="exact"/>
        <w:rPr>
          <w:sz w:val="24"/>
          <w:szCs w:val="24"/>
        </w:rPr>
      </w:pPr>
      <w:bookmarkStart w:id="1" w:name="_Hlk66988311"/>
      <w:bookmarkStart w:id="2" w:name="_Hlk66988550"/>
      <w:r>
        <w:rPr>
          <w:rFonts w:ascii="仿宋" w:eastAsia="仿宋" w:cs="仿宋" w:hint="eastAsia"/>
          <w:sz w:val="24"/>
          <w:szCs w:val="24"/>
        </w:rPr>
        <w:fldChar w:fldCharType="begin"/>
      </w:r>
      <w:r>
        <w:rPr>
          <w:rFonts w:ascii="仿宋" w:eastAsia="仿宋" w:cs="仿宋" w:hint="eastAsia"/>
          <w:sz w:val="24"/>
          <w:szCs w:val="24"/>
        </w:rPr>
        <w:instrText xml:space="preserve"> HYPERLINK \l _Toc24879 </w:instrText>
      </w:r>
      <w:r>
        <w:rPr>
          <w:rFonts w:ascii="仿宋" w:eastAsia="仿宋" w:cs="仿宋" w:hint="eastAsia"/>
          <w:sz w:val="24"/>
          <w:szCs w:val="24"/>
        </w:rPr>
        <w:fldChar w:fldCharType="separate"/>
      </w:r>
      <w:r>
        <w:rPr>
          <w:rFonts w:ascii="楷体" w:eastAsia="楷体" w:hint="eastAsia"/>
          <w:sz w:val="24"/>
          <w:szCs w:val="24"/>
        </w:rPr>
        <w:t>（一）报考资格条件确认</w:t>
      </w:r>
      <w:r>
        <w:rPr>
          <w:sz w:val="24"/>
          <w:szCs w:val="24"/>
        </w:rPr>
        <w:tab/>
        <w:t>2</w:t>
      </w:r>
      <w:r>
        <w:rPr>
          <w:rFonts w:ascii="仿宋" w:eastAsia="仿宋" w:cs="仿宋" w:hint="eastAsia"/>
          <w:sz w:val="24"/>
          <w:szCs w:val="24"/>
        </w:rPr>
        <w:fldChar w:fldCharType="end"/>
      </w:r>
    </w:p>
    <w:p>
      <w:pPr>
        <w:pStyle w:val="23"/>
        <w:tabs>
          <w:tab w:val="right" w:leader="dot" w:pos="8306"/>
        </w:tabs>
        <w:spacing w:line="440" w:lineRule="exact"/>
        <w:rPr>
          <w:sz w:val="24"/>
          <w:szCs w:val="24"/>
        </w:rPr>
      </w:pPr>
      <w:r>
        <w:fldChar w:fldCharType="begin"/>
      </w:r>
      <w:r>
        <w:instrText>Hyperlink \l "_Toc26225"</w:instrText>
      </w:r>
      <w:r>
        <w:fldChar w:fldCharType="separate"/>
      </w:r>
      <w:r>
        <w:rPr>
          <w:rFonts w:ascii="楷体" w:eastAsia="楷体" w:hint="eastAsia"/>
          <w:sz w:val="24"/>
          <w:szCs w:val="24"/>
        </w:rPr>
        <w:t>（二）</w:t>
      </w:r>
      <w:r>
        <w:rPr>
          <w:rFonts w:ascii="楷体" w:eastAsia="楷体"/>
          <w:sz w:val="24"/>
          <w:szCs w:val="24"/>
        </w:rPr>
        <w:t>报名方式</w:t>
      </w:r>
      <w:r>
        <w:rPr>
          <w:sz w:val="24"/>
          <w:szCs w:val="24"/>
        </w:rPr>
        <w:tab/>
        <w:t>2</w:t>
      </w:r>
      <w:r>
        <w:fldChar w:fldCharType="end"/>
      </w:r>
    </w:p>
    <w:p>
      <w:pPr>
        <w:pStyle w:val="23"/>
        <w:tabs>
          <w:tab w:val="right" w:leader="dot" w:pos="8306"/>
        </w:tabs>
        <w:spacing w:line="440" w:lineRule="exact"/>
        <w:rPr>
          <w:sz w:val="24"/>
          <w:szCs w:val="24"/>
        </w:rPr>
      </w:pPr>
      <w:bookmarkEnd w:id="1"/>
      <w:r>
        <w:rPr>
          <w:rFonts w:ascii="楷体" w:eastAsia="楷体" w:hint="eastAsia"/>
          <w:sz w:val="24"/>
          <w:szCs w:val="24"/>
        </w:rPr>
        <w:t>（三）</w:t>
      </w:r>
      <w:r>
        <w:rPr>
          <w:rFonts w:ascii="楷体" w:eastAsia="楷体"/>
          <w:sz w:val="24"/>
          <w:szCs w:val="24"/>
        </w:rPr>
        <w:t>报名材料</w:t>
      </w:r>
      <w:r>
        <w:rPr>
          <w:sz w:val="24"/>
          <w:szCs w:val="24"/>
        </w:rPr>
        <w:tab/>
        <w:t>3</w:t>
      </w:r>
    </w:p>
    <w:p>
      <w:pPr>
        <w:pStyle w:val="23"/>
        <w:tabs>
          <w:tab w:val="right" w:leader="dot" w:pos="8306"/>
        </w:tabs>
        <w:spacing w:line="440" w:lineRule="exact"/>
        <w:rPr>
          <w:rFonts w:ascii="仿宋" w:eastAsia="仿宋" w:cs="仿宋"/>
          <w:sz w:val="24"/>
          <w:szCs w:val="24"/>
        </w:rPr>
      </w:pPr>
      <w:r>
        <w:fldChar w:fldCharType="begin"/>
      </w:r>
      <w:r>
        <w:instrText>Hyperlink \l "_Toc24060"</w:instrText>
      </w:r>
      <w:r>
        <w:fldChar w:fldCharType="separate"/>
      </w:r>
      <w:r>
        <w:rPr>
          <w:rFonts w:ascii="楷体" w:eastAsia="楷体" w:hint="eastAsia"/>
          <w:sz w:val="24"/>
          <w:szCs w:val="24"/>
        </w:rPr>
        <w:t>（四）</w:t>
      </w:r>
      <w:r>
        <w:rPr>
          <w:rFonts w:ascii="楷体" w:eastAsia="楷体"/>
          <w:sz w:val="24"/>
          <w:szCs w:val="24"/>
        </w:rPr>
        <w:t>照片要求</w:t>
      </w:r>
      <w:r>
        <w:rPr>
          <w:sz w:val="24"/>
          <w:szCs w:val="24"/>
        </w:rPr>
        <w:tab/>
      </w:r>
      <w:r>
        <w:fldChar w:fldCharType="end"/>
      </w:r>
      <w:r>
        <w:rPr>
          <w:rFonts w:ascii="仿宋" w:eastAsia="仿宋" w:cs="仿宋"/>
          <w:sz w:val="24"/>
          <w:szCs w:val="24"/>
        </w:rPr>
        <w:t>3</w:t>
      </w:r>
    </w:p>
    <w:p>
      <w:pPr>
        <w:pStyle w:val="23"/>
        <w:tabs>
          <w:tab w:val="right" w:leader="dot" w:pos="8306"/>
        </w:tabs>
        <w:spacing w:line="440" w:lineRule="exact"/>
        <w:rPr>
          <w:sz w:val="24"/>
          <w:szCs w:val="24"/>
        </w:rPr>
      </w:pPr>
      <w:bookmarkEnd w:id="2"/>
      <w:r>
        <w:rPr>
          <w:rFonts w:ascii="仿宋" w:eastAsia="仿宋" w:cs="仿宋" w:hint="eastAsia"/>
          <w:sz w:val="24"/>
          <w:szCs w:val="24"/>
        </w:rPr>
        <w:fldChar w:fldCharType="begin"/>
      </w:r>
      <w:r>
        <w:rPr>
          <w:rFonts w:ascii="仿宋" w:eastAsia="仿宋" w:cs="仿宋" w:hint="eastAsia"/>
          <w:sz w:val="24"/>
          <w:szCs w:val="24"/>
        </w:rPr>
        <w:instrText xml:space="preserve"> HYPERLINK \l _Toc24879 </w:instrText>
      </w:r>
      <w:r>
        <w:rPr>
          <w:rFonts w:ascii="仿宋" w:eastAsia="仿宋" w:cs="仿宋" w:hint="eastAsia"/>
          <w:sz w:val="24"/>
          <w:szCs w:val="24"/>
        </w:rPr>
        <w:fldChar w:fldCharType="separate"/>
      </w:r>
      <w:r>
        <w:rPr>
          <w:rFonts w:ascii="楷体" w:eastAsia="楷体" w:hint="eastAsia"/>
          <w:sz w:val="24"/>
          <w:szCs w:val="24"/>
        </w:rPr>
        <w:t>（</w:t>
      </w:r>
      <w:r>
        <w:rPr>
          <w:rFonts w:ascii="楷体" w:eastAsia="楷体"/>
          <w:sz w:val="24"/>
          <w:szCs w:val="24"/>
        </w:rPr>
        <w:t>五</w:t>
      </w:r>
      <w:r>
        <w:rPr>
          <w:rFonts w:ascii="楷体" w:eastAsia="楷体" w:hint="eastAsia"/>
          <w:sz w:val="24"/>
          <w:szCs w:val="24"/>
        </w:rPr>
        <w:t>）</w:t>
      </w:r>
      <w:r>
        <w:rPr>
          <w:rFonts w:ascii="楷体" w:eastAsia="楷体"/>
          <w:sz w:val="24"/>
          <w:szCs w:val="24"/>
        </w:rPr>
        <w:t>个人简历</w:t>
      </w:r>
      <w:r>
        <w:rPr>
          <w:sz w:val="24"/>
          <w:szCs w:val="24"/>
        </w:rPr>
        <w:tab/>
      </w:r>
      <w:r>
        <w:rPr>
          <w:sz w:val="24"/>
          <w:szCs w:val="24"/>
        </w:rPr>
        <w:fldChar w:fldCharType="begin"/>
      </w:r>
      <w:r>
        <w:rPr>
          <w:sz w:val="24"/>
          <w:szCs w:val="24"/>
        </w:rPr>
        <w:instrText xml:space="preserve"> PAGEREF _Toc24879 </w:instrText>
      </w:r>
      <w:r>
        <w:rPr>
          <w:sz w:val="24"/>
          <w:szCs w:val="24"/>
        </w:rPr>
        <w:fldChar w:fldCharType="separate"/>
      </w:r>
      <w:r>
        <w:rPr>
          <w:sz w:val="24"/>
          <w:szCs w:val="24"/>
        </w:rPr>
        <w:t>4</w:t>
      </w:r>
      <w:r>
        <w:rPr>
          <w:sz w:val="24"/>
          <w:szCs w:val="24"/>
        </w:rPr>
        <w:fldChar w:fldCharType="end"/>
      </w:r>
      <w:r>
        <w:rPr>
          <w:rFonts w:ascii="仿宋" w:eastAsia="仿宋" w:cs="仿宋" w:hint="eastAsia"/>
          <w:sz w:val="24"/>
          <w:szCs w:val="24"/>
        </w:rPr>
        <w:fldChar w:fldCharType="end"/>
      </w:r>
    </w:p>
    <w:p>
      <w:pPr>
        <w:pStyle w:val="23"/>
        <w:tabs>
          <w:tab w:val="right" w:leader="dot" w:pos="8306"/>
        </w:tabs>
        <w:spacing w:line="440" w:lineRule="exact"/>
        <w:rPr>
          <w:sz w:val="24"/>
          <w:szCs w:val="24"/>
        </w:rPr>
      </w:pPr>
      <w:r>
        <w:fldChar w:fldCharType="begin"/>
      </w:r>
      <w:r>
        <w:instrText>Hyperlink \l "_Toc26225"</w:instrText>
      </w:r>
      <w:r>
        <w:fldChar w:fldCharType="separate"/>
      </w:r>
      <w:r>
        <w:rPr>
          <w:rFonts w:ascii="楷体" w:eastAsia="楷体" w:hint="eastAsia"/>
          <w:sz w:val="24"/>
          <w:szCs w:val="24"/>
        </w:rPr>
        <w:t>（</w:t>
      </w:r>
      <w:r>
        <w:rPr>
          <w:rFonts w:ascii="楷体" w:eastAsia="楷体"/>
          <w:sz w:val="24"/>
          <w:szCs w:val="24"/>
        </w:rPr>
        <w:t>六</w:t>
      </w:r>
      <w:r>
        <w:rPr>
          <w:rFonts w:ascii="楷体" w:eastAsia="楷体" w:hint="eastAsia"/>
          <w:sz w:val="24"/>
          <w:szCs w:val="24"/>
        </w:rPr>
        <w:t>）</w:t>
      </w:r>
      <w:r>
        <w:rPr>
          <w:rFonts w:ascii="楷体" w:eastAsia="楷体"/>
          <w:sz w:val="24"/>
          <w:szCs w:val="24"/>
        </w:rPr>
        <w:t>回避情形</w:t>
      </w:r>
      <w:r>
        <w:rPr>
          <w:sz w:val="24"/>
          <w:szCs w:val="24"/>
        </w:rPr>
        <w:tab/>
      </w:r>
      <w:r>
        <w:rPr>
          <w:sz w:val="24"/>
          <w:szCs w:val="24"/>
        </w:rPr>
        <w:fldChar w:fldCharType="begin"/>
      </w:r>
      <w:r>
        <w:rPr>
          <w:sz w:val="24"/>
          <w:szCs w:val="24"/>
        </w:rPr>
        <w:instrText xml:space="preserve"> PAGEREF _Toc26225 </w:instrText>
      </w:r>
      <w:r>
        <w:rPr>
          <w:sz w:val="24"/>
          <w:szCs w:val="24"/>
        </w:rPr>
        <w:fldChar w:fldCharType="separate"/>
      </w:r>
      <w:r>
        <w:rPr>
          <w:sz w:val="24"/>
          <w:szCs w:val="24"/>
        </w:rPr>
        <w:t>4</w:t>
      </w:r>
      <w:r>
        <w:rPr>
          <w:sz w:val="24"/>
          <w:szCs w:val="24"/>
        </w:rPr>
        <w:fldChar w:fldCharType="end"/>
      </w:r>
      <w:r>
        <w:fldChar w:fldCharType="end"/>
      </w:r>
    </w:p>
    <w:p>
      <w:pPr>
        <w:pStyle w:val="23"/>
        <w:tabs>
          <w:tab w:val="right" w:leader="dot" w:pos="8306"/>
        </w:tabs>
        <w:spacing w:line="440" w:lineRule="exact"/>
        <w:ind w:leftChars="0" w:left="0"/>
        <w:rPr>
          <w:rFonts w:hint="eastAsia"/>
          <w:sz w:val="24"/>
          <w:szCs w:val="24"/>
        </w:rPr>
      </w:pPr>
      <w:r>
        <w:rPr>
          <w:rFonts w:ascii="黑体" w:eastAsia="黑体" w:cs="仿宋" w:hint="eastAsia"/>
          <w:sz w:val="24"/>
          <w:szCs w:val="24"/>
        </w:rPr>
        <w:t>四、年龄、资格（历）等的计算办法</w:t>
      </w:r>
      <w:r>
        <w:fldChar w:fldCharType="begin"/>
      </w:r>
      <w:r>
        <w:instrText>Hyperlink \l "_Toc26225"</w:instrText>
      </w:r>
      <w:r>
        <w:fldChar w:fldCharType="separate"/>
      </w:r>
      <w:r>
        <w:rPr>
          <w:sz w:val="24"/>
          <w:szCs w:val="24"/>
        </w:rPr>
        <w:tab/>
        <w:t>6</w:t>
      </w:r>
      <w:r>
        <w:fldChar w:fldCharType="end"/>
      </w:r>
    </w:p>
    <w:p>
      <w:pPr>
        <w:pStyle w:val="23"/>
        <w:tabs>
          <w:tab w:val="right" w:leader="dot" w:pos="8306"/>
        </w:tabs>
        <w:spacing w:line="440" w:lineRule="exact"/>
        <w:rPr>
          <w:sz w:val="24"/>
          <w:szCs w:val="24"/>
        </w:rPr>
      </w:pPr>
      <w:r>
        <w:fldChar w:fldCharType="begin"/>
      </w:r>
      <w:r>
        <w:instrText>Hyperlink \l "_Toc24879"</w:instrText>
      </w:r>
      <w:r>
        <w:fldChar w:fldCharType="separate"/>
      </w:r>
      <w:r>
        <w:rPr>
          <w:rFonts w:ascii="楷体" w:eastAsia="楷体" w:hint="eastAsia"/>
          <w:sz w:val="24"/>
          <w:szCs w:val="24"/>
        </w:rPr>
        <w:t>（一）年龄</w:t>
      </w:r>
      <w:r>
        <w:rPr>
          <w:sz w:val="24"/>
          <w:szCs w:val="24"/>
        </w:rPr>
        <w:tab/>
        <w:t>6</w:t>
      </w:r>
      <w:r>
        <w:fldChar w:fldCharType="end"/>
      </w:r>
    </w:p>
    <w:p>
      <w:pPr>
        <w:pStyle w:val="23"/>
        <w:tabs>
          <w:tab w:val="right" w:leader="dot" w:pos="8306"/>
        </w:tabs>
        <w:spacing w:line="440" w:lineRule="exact"/>
        <w:rPr>
          <w:rFonts w:hint="eastAsia"/>
          <w:sz w:val="24"/>
          <w:szCs w:val="24"/>
        </w:rPr>
      </w:pPr>
      <w:r>
        <w:fldChar w:fldCharType="begin"/>
      </w:r>
      <w:r>
        <w:instrText>Hyperlink \l "_Toc26225"</w:instrText>
      </w:r>
      <w:r>
        <w:fldChar w:fldCharType="separate"/>
      </w:r>
      <w:r>
        <w:rPr>
          <w:rFonts w:ascii="楷体" w:eastAsia="楷体" w:hint="eastAsia"/>
          <w:sz w:val="24"/>
          <w:szCs w:val="24"/>
        </w:rPr>
        <w:t>（二）资格（历）等</w:t>
      </w:r>
      <w:r>
        <w:rPr>
          <w:sz w:val="24"/>
          <w:szCs w:val="24"/>
        </w:rPr>
        <w:tab/>
        <w:t>6</w:t>
      </w:r>
      <w:r>
        <w:fldChar w:fldCharType="end"/>
      </w:r>
    </w:p>
    <w:p>
      <w:pPr>
        <w:pStyle w:val="21"/>
        <w:tabs>
          <w:tab w:val="right" w:leader="dot" w:pos="8306"/>
        </w:tabs>
        <w:spacing w:line="440" w:lineRule="exact"/>
        <w:rPr>
          <w:rFonts w:ascii="仿宋" w:eastAsia="仿宋" w:cs="仿宋"/>
          <w:sz w:val="24"/>
          <w:szCs w:val="24"/>
        </w:rPr>
      </w:pPr>
      <w:r>
        <w:fldChar w:fldCharType="begin"/>
      </w:r>
      <w:r>
        <w:instrText>Hyperlink \l "_Toc30557"</w:instrText>
      </w:r>
      <w:r>
        <w:fldChar w:fldCharType="separate"/>
      </w:r>
      <w:r>
        <w:rPr>
          <w:rFonts w:ascii="黑体" w:eastAsia="黑体" w:hint="eastAsia"/>
          <w:bCs/>
          <w:sz w:val="24"/>
          <w:szCs w:val="24"/>
        </w:rPr>
        <w:t>五、学历（位）认定</w:t>
      </w:r>
      <w:r>
        <w:rPr>
          <w:sz w:val="24"/>
          <w:szCs w:val="24"/>
        </w:rPr>
        <w:tab/>
      </w:r>
      <w:r>
        <w:fldChar w:fldCharType="end"/>
      </w:r>
      <w:r>
        <w:rPr>
          <w:rFonts w:ascii="仿宋" w:eastAsia="仿宋" w:cs="仿宋"/>
          <w:sz w:val="24"/>
          <w:szCs w:val="24"/>
        </w:rPr>
        <w:t>6</w:t>
      </w:r>
    </w:p>
    <w:p>
      <w:pPr>
        <w:pStyle w:val="23"/>
        <w:tabs>
          <w:tab w:val="right" w:leader="dot" w:pos="8306"/>
        </w:tabs>
        <w:spacing w:line="440" w:lineRule="exact"/>
        <w:rPr>
          <w:sz w:val="24"/>
          <w:szCs w:val="24"/>
        </w:rPr>
      </w:pPr>
      <w:r>
        <w:fldChar w:fldCharType="begin"/>
      </w:r>
      <w:r>
        <w:instrText>Hyperlink \l "_Toc24879"</w:instrText>
      </w:r>
      <w:r>
        <w:fldChar w:fldCharType="separate"/>
      </w:r>
      <w:r>
        <w:rPr>
          <w:rFonts w:ascii="楷体" w:eastAsia="楷体" w:hint="eastAsia"/>
          <w:sz w:val="24"/>
          <w:szCs w:val="24"/>
        </w:rPr>
        <w:t>（一）境内学历（位）</w:t>
      </w:r>
      <w:r>
        <w:rPr>
          <w:sz w:val="24"/>
          <w:szCs w:val="24"/>
        </w:rPr>
        <w:tab/>
        <w:t>7</w:t>
      </w:r>
      <w:r>
        <w:fldChar w:fldCharType="end"/>
      </w:r>
    </w:p>
    <w:p>
      <w:pPr>
        <w:pStyle w:val="23"/>
        <w:tabs>
          <w:tab w:val="right" w:leader="dot" w:pos="8306"/>
        </w:tabs>
        <w:spacing w:line="440" w:lineRule="exact"/>
        <w:rPr>
          <w:sz w:val="24"/>
          <w:szCs w:val="24"/>
        </w:rPr>
      </w:pPr>
      <w:r>
        <w:fldChar w:fldCharType="begin"/>
      </w:r>
      <w:r>
        <w:instrText>Hyperlink \l "_Toc26225"</w:instrText>
      </w:r>
      <w:r>
        <w:fldChar w:fldCharType="separate"/>
      </w:r>
      <w:r>
        <w:rPr>
          <w:rFonts w:ascii="楷体" w:eastAsia="楷体" w:hint="eastAsia"/>
          <w:sz w:val="24"/>
          <w:szCs w:val="24"/>
        </w:rPr>
        <w:t>（二）境外学历（位）</w:t>
      </w:r>
      <w:r>
        <w:rPr>
          <w:sz w:val="24"/>
          <w:szCs w:val="24"/>
        </w:rPr>
        <w:tab/>
        <w:t>7</w:t>
      </w:r>
      <w:r>
        <w:fldChar w:fldCharType="end"/>
      </w:r>
    </w:p>
    <w:p>
      <w:pPr>
        <w:pStyle w:val="23"/>
        <w:tabs>
          <w:tab w:val="right" w:leader="dot" w:pos="8306"/>
        </w:tabs>
        <w:spacing w:line="440" w:lineRule="exact"/>
        <w:rPr>
          <w:sz w:val="24"/>
          <w:szCs w:val="24"/>
        </w:rPr>
      </w:pPr>
      <w:r>
        <w:rPr>
          <w:rFonts w:ascii="楷体" w:eastAsia="楷体" w:hint="eastAsia"/>
          <w:sz w:val="24"/>
          <w:szCs w:val="24"/>
        </w:rPr>
        <w:t>（三）我省“双学位”“双专业”学历</w:t>
      </w:r>
      <w:r>
        <w:rPr>
          <w:sz w:val="24"/>
          <w:szCs w:val="24"/>
        </w:rPr>
        <w:tab/>
        <w:t>8</w:t>
      </w:r>
    </w:p>
    <w:p>
      <w:pPr>
        <w:pStyle w:val="23"/>
        <w:tabs>
          <w:tab w:val="right" w:leader="dot" w:pos="8306"/>
        </w:tabs>
        <w:spacing w:line="440" w:lineRule="exact"/>
        <w:rPr>
          <w:rFonts w:ascii="仿宋" w:eastAsia="仿宋" w:cs="仿宋" w:hint="eastAsia"/>
          <w:sz w:val="24"/>
          <w:szCs w:val="24"/>
        </w:rPr>
      </w:pPr>
      <w:r>
        <w:fldChar w:fldCharType="begin"/>
      </w:r>
      <w:r>
        <w:instrText>Hyperlink \l "_Toc24060"</w:instrText>
      </w:r>
      <w:r>
        <w:fldChar w:fldCharType="separate"/>
      </w:r>
      <w:r>
        <w:rPr>
          <w:rFonts w:ascii="楷体" w:eastAsia="楷体" w:hint="eastAsia"/>
          <w:sz w:val="24"/>
          <w:szCs w:val="24"/>
        </w:rPr>
        <w:t>（四）提醒事项</w:t>
      </w:r>
      <w:r>
        <w:rPr>
          <w:sz w:val="24"/>
          <w:szCs w:val="24"/>
        </w:rPr>
        <w:tab/>
      </w:r>
      <w:r>
        <w:fldChar w:fldCharType="end"/>
      </w:r>
      <w:r>
        <w:rPr>
          <w:rFonts w:ascii="仿宋" w:eastAsia="仿宋" w:cs="仿宋"/>
          <w:sz w:val="24"/>
          <w:szCs w:val="24"/>
        </w:rPr>
        <w:t>8</w:t>
      </w:r>
    </w:p>
    <w:p>
      <w:pPr>
        <w:pStyle w:val="21"/>
        <w:tabs>
          <w:tab w:val="right" w:leader="dot" w:pos="8306"/>
        </w:tabs>
        <w:spacing w:line="440" w:lineRule="exact"/>
        <w:rPr>
          <w:sz w:val="24"/>
          <w:szCs w:val="24"/>
        </w:rPr>
      </w:pPr>
      <w:r>
        <w:fldChar w:fldCharType="begin"/>
      </w:r>
      <w:r>
        <w:instrText>Hyperlink \l "_Toc6379"</w:instrText>
      </w:r>
      <w:r>
        <w:fldChar w:fldCharType="separate"/>
      </w:r>
      <w:r>
        <w:rPr>
          <w:rFonts w:ascii="黑体" w:eastAsia="黑体" w:hint="eastAsia"/>
          <w:bCs/>
          <w:sz w:val="24"/>
          <w:szCs w:val="24"/>
        </w:rPr>
        <w:t>六、专业认定</w:t>
      </w:r>
      <w:r>
        <w:rPr>
          <w:sz w:val="24"/>
          <w:szCs w:val="24"/>
        </w:rPr>
        <w:tab/>
      </w:r>
      <w:r>
        <w:fldChar w:fldCharType="end"/>
      </w:r>
      <w:r>
        <w:t>8</w:t>
      </w:r>
    </w:p>
    <w:p>
      <w:pPr>
        <w:pStyle w:val="23"/>
        <w:tabs>
          <w:tab w:val="right" w:leader="dot" w:pos="8306"/>
        </w:tabs>
        <w:spacing w:line="440" w:lineRule="exact"/>
        <w:rPr>
          <w:sz w:val="24"/>
          <w:szCs w:val="24"/>
        </w:rPr>
      </w:pPr>
      <w:r>
        <w:fldChar w:fldCharType="begin"/>
      </w:r>
      <w:r>
        <w:instrText>Hyperlink \l "_Toc28316"</w:instrText>
      </w:r>
      <w:r>
        <w:fldChar w:fldCharType="separate"/>
      </w:r>
      <w:r>
        <w:rPr>
          <w:rFonts w:ascii="楷体" w:eastAsia="楷体" w:hint="eastAsia"/>
          <w:sz w:val="24"/>
          <w:szCs w:val="24"/>
        </w:rPr>
        <w:t>（一）填报专业名称</w:t>
      </w:r>
      <w:r>
        <w:rPr>
          <w:sz w:val="24"/>
          <w:szCs w:val="24"/>
        </w:rPr>
        <w:tab/>
      </w:r>
      <w:r>
        <w:rPr>
          <w:sz w:val="24"/>
          <w:szCs w:val="24"/>
        </w:rPr>
        <w:fldChar w:fldCharType="begin"/>
      </w:r>
      <w:r>
        <w:rPr>
          <w:sz w:val="24"/>
          <w:szCs w:val="24"/>
        </w:rPr>
        <w:instrText xml:space="preserve"> PAGEREF _Toc28316 </w:instrText>
      </w:r>
      <w:r>
        <w:rPr>
          <w:sz w:val="24"/>
          <w:szCs w:val="24"/>
        </w:rPr>
        <w:fldChar w:fldCharType="separate"/>
      </w:r>
      <w:r>
        <w:rPr>
          <w:sz w:val="24"/>
          <w:szCs w:val="24"/>
        </w:rPr>
        <w:t>9</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"_Toc19239"</w:instrText>
      </w:r>
      <w:r>
        <w:fldChar w:fldCharType="separate"/>
      </w:r>
      <w:r>
        <w:rPr>
          <w:rFonts w:ascii="楷体" w:eastAsia="楷体" w:hint="eastAsia"/>
          <w:sz w:val="24"/>
          <w:szCs w:val="24"/>
        </w:rPr>
        <w:t>（二）专业与学历（位）的对应关系</w:t>
      </w:r>
      <w:r>
        <w:rPr>
          <w:sz w:val="24"/>
          <w:szCs w:val="24"/>
        </w:rPr>
        <w:tab/>
      </w:r>
      <w:r>
        <w:rPr>
          <w:sz w:val="24"/>
          <w:szCs w:val="24"/>
        </w:rPr>
        <w:fldChar w:fldCharType="begin"/>
      </w:r>
      <w:r>
        <w:rPr>
          <w:sz w:val="24"/>
          <w:szCs w:val="24"/>
        </w:rPr>
        <w:instrText xml:space="preserve"> PAGEREF _Toc19239 </w:instrText>
      </w:r>
      <w:r>
        <w:rPr>
          <w:sz w:val="24"/>
          <w:szCs w:val="24"/>
        </w:rPr>
        <w:fldChar w:fldCharType="separate"/>
      </w:r>
      <w:r>
        <w:rPr>
          <w:sz w:val="24"/>
          <w:szCs w:val="24"/>
        </w:rPr>
        <w:t>9</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"_Toc13981"</w:instrText>
      </w:r>
      <w:r>
        <w:fldChar w:fldCharType="separate"/>
      </w:r>
      <w:r>
        <w:rPr>
          <w:rFonts w:ascii="楷体" w:eastAsia="楷体" w:hint="eastAsia"/>
          <w:sz w:val="24"/>
          <w:szCs w:val="24"/>
        </w:rPr>
        <w:t>（三）专业资格的认定</w:t>
      </w:r>
      <w:r>
        <w:rPr>
          <w:sz w:val="24"/>
          <w:szCs w:val="24"/>
        </w:rPr>
        <w:tab/>
        <w:t>1</w:t>
      </w:r>
      <w:r>
        <w:fldChar w:fldCharType="end"/>
      </w:r>
      <w:r>
        <w:t>0</w:t>
      </w:r>
    </w:p>
    <w:p>
      <w:pPr>
        <w:pStyle w:val="21"/>
        <w:tabs>
          <w:tab w:val="right" w:leader="dot" w:pos="8306"/>
        </w:tabs>
        <w:spacing w:line="440" w:lineRule="exact"/>
        <w:rPr>
          <w:sz w:val="24"/>
          <w:szCs w:val="24"/>
        </w:rPr>
      </w:pPr>
      <w:r>
        <w:fldChar w:fldCharType="begin"/>
      </w:r>
      <w:r>
        <w:instrText>Hyperlink \l "_Toc25382"</w:instrText>
      </w:r>
      <w:r>
        <w:fldChar w:fldCharType="separate"/>
      </w:r>
      <w:r>
        <w:rPr>
          <w:rFonts w:ascii="黑体" w:eastAsia="黑体" w:hint="eastAsia"/>
          <w:bCs/>
          <w:sz w:val="24"/>
          <w:szCs w:val="24"/>
        </w:rPr>
        <w:t>七、</w:t>
      </w:r>
      <w:r>
        <w:fldChar w:fldCharType="end"/>
      </w:r>
      <w:r>
        <w:fldChar w:fldCharType="begin"/>
      </w:r>
      <w:r>
        <w:instrText>Hyperlink \l "_Toc31288"</w:instrText>
      </w:r>
      <w:r>
        <w:fldChar w:fldCharType="separate"/>
      </w:r>
      <w:r>
        <w:rPr>
          <w:rFonts w:ascii="黑体" w:eastAsia="黑体" w:hint="eastAsia"/>
          <w:bCs/>
          <w:sz w:val="24"/>
          <w:szCs w:val="24"/>
        </w:rPr>
        <w:t>开考比例</w:t>
      </w:r>
      <w:r>
        <w:rPr>
          <w:sz w:val="24"/>
          <w:szCs w:val="24"/>
        </w:rPr>
        <w:tab/>
      </w:r>
      <w:r>
        <w:fldChar w:fldCharType="end"/>
      </w:r>
      <w:r>
        <w:rPr>
          <w:rFonts w:ascii="仿宋" w:eastAsia="仿宋" w:cs="仿宋"/>
          <w:sz w:val="24"/>
          <w:szCs w:val="24"/>
        </w:rPr>
        <w:t>11</w:t>
      </w:r>
    </w:p>
    <w:p>
      <w:pPr>
        <w:pStyle w:val="23"/>
        <w:tabs>
          <w:tab w:val="right" w:leader="dot" w:pos="8306"/>
        </w:tabs>
        <w:spacing w:line="440" w:lineRule="exact"/>
        <w:rPr>
          <w:sz w:val="24"/>
          <w:szCs w:val="24"/>
        </w:rPr>
      </w:pPr>
      <w:r>
        <w:fldChar w:fldCharType="begin"/>
      </w:r>
      <w:r>
        <w:instrText>Hyperlink \l "_Toc21834"</w:instrText>
      </w:r>
      <w:r>
        <w:fldChar w:fldCharType="separate"/>
      </w:r>
      <w:r>
        <w:rPr>
          <w:rFonts w:ascii="楷体" w:eastAsia="楷体" w:cs="楷体" w:hint="eastAsia"/>
          <w:bCs/>
          <w:sz w:val="24"/>
          <w:szCs w:val="24"/>
        </w:rPr>
        <w:t>（一）可降低比例开考情形</w:t>
      </w:r>
      <w:r>
        <w:rPr>
          <w:sz w:val="24"/>
          <w:szCs w:val="24"/>
        </w:rPr>
        <w:tab/>
      </w:r>
      <w:r>
        <w:rPr>
          <w:sz w:val="24"/>
          <w:szCs w:val="24"/>
        </w:rPr>
        <w:fldChar w:fldCharType="begin"/>
      </w:r>
      <w:r>
        <w:rPr>
          <w:sz w:val="24"/>
          <w:szCs w:val="24"/>
        </w:rPr>
        <w:instrText xml:space="preserve"> PAGEREF _Toc21834 </w:instrText>
      </w:r>
      <w:r>
        <w:rPr>
          <w:sz w:val="24"/>
          <w:szCs w:val="24"/>
        </w:rPr>
        <w:fldChar w:fldCharType="separate"/>
      </w:r>
      <w:r>
        <w:rPr>
          <w:sz w:val="24"/>
          <w:szCs w:val="24"/>
        </w:rPr>
        <w:t>11</w:t>
      </w:r>
      <w:r>
        <w:rPr>
          <w:sz w:val="24"/>
          <w:szCs w:val="24"/>
        </w:rPr>
        <w:fldChar w:fldCharType="end"/>
      </w:r>
      <w:r>
        <w:fldChar w:fldCharType="end"/>
      </w:r>
    </w:p>
    <w:p>
      <w:pPr>
        <w:pStyle w:val="23"/>
        <w:tabs>
          <w:tab w:val="right" w:leader="dot" w:pos="8306"/>
        </w:tabs>
        <w:spacing w:line="440" w:lineRule="exact"/>
        <w:rPr>
          <w:rFonts w:eastAsia="仿宋"/>
          <w:sz w:val="24"/>
          <w:szCs w:val="24"/>
        </w:rPr>
      </w:pPr>
      <w:r>
        <w:fldChar w:fldCharType="begin"/>
      </w:r>
      <w:r>
        <w:instrText>Hyperlink \l "_Toc6842"</w:instrText>
      </w:r>
      <w:r>
        <w:fldChar w:fldCharType="separate"/>
      </w:r>
      <w:r>
        <w:rPr>
          <w:rFonts w:ascii="楷体" w:eastAsia="楷体" w:cs="楷体" w:hint="eastAsia"/>
          <w:bCs/>
          <w:sz w:val="24"/>
          <w:szCs w:val="24"/>
        </w:rPr>
        <w:t>（二）开考情况</w:t>
      </w:r>
      <w:r>
        <w:rPr>
          <w:sz w:val="24"/>
          <w:szCs w:val="24"/>
        </w:rPr>
        <w:tab/>
      </w:r>
      <w:r>
        <w:rPr>
          <w:rFonts w:hint="eastAsia"/>
          <w:sz w:val="24"/>
          <w:szCs w:val="24"/>
        </w:rPr>
        <w:t>1</w:t>
      </w:r>
      <w:r>
        <w:fldChar w:fldCharType="end"/>
      </w:r>
      <w:r>
        <w:rPr>
          <w:rFonts w:eastAsia="仿宋"/>
          <w:sz w:val="24"/>
          <w:szCs w:val="24"/>
        </w:rPr>
        <w:t>1</w:t>
      </w:r>
    </w:p>
    <w:p>
      <w:pPr>
        <w:pStyle w:val="21"/>
        <w:tabs>
          <w:tab w:val="right" w:leader="dot" w:pos="8306"/>
        </w:tabs>
        <w:spacing w:line="440" w:lineRule="exact"/>
        <w:rPr>
          <w:sz w:val="24"/>
          <w:szCs w:val="24"/>
        </w:rPr>
      </w:pPr>
      <w:r>
        <w:fldChar w:fldCharType="begin"/>
      </w:r>
      <w:r>
        <w:instrText>Hyperlink \l "_Toc20213"</w:instrText>
      </w:r>
      <w:r>
        <w:fldChar w:fldCharType="separate"/>
      </w:r>
      <w:r>
        <w:rPr>
          <w:rFonts w:ascii="黑体" w:eastAsia="黑体" w:hint="eastAsia"/>
          <w:bCs/>
          <w:sz w:val="24"/>
          <w:szCs w:val="24"/>
        </w:rPr>
        <w:t>八、笔试加分</w:t>
      </w:r>
      <w:r>
        <w:rPr>
          <w:sz w:val="24"/>
          <w:szCs w:val="24"/>
        </w:rPr>
        <w:tab/>
        <w:t>1</w:t>
      </w:r>
      <w:r>
        <w:fldChar w:fldCharType="end"/>
      </w:r>
      <w:r>
        <w:rPr>
          <w:sz w:val="24"/>
          <w:szCs w:val="24"/>
        </w:rPr>
        <w:t>1</w:t>
      </w:r>
    </w:p>
    <w:p>
      <w:pPr>
        <w:pStyle w:val="23"/>
        <w:tabs>
          <w:tab w:val="right" w:leader="dot" w:pos="8306"/>
        </w:tabs>
        <w:spacing w:line="440" w:lineRule="exact"/>
        <w:rPr>
          <w:sz w:val="24"/>
          <w:szCs w:val="24"/>
        </w:rPr>
      </w:pPr>
      <w:r>
        <w:fldChar w:fldCharType="begin"/>
      </w:r>
      <w:r>
        <w:instrText>Hyperlink \l "_Toc20307"</w:instrText>
      </w:r>
      <w:r>
        <w:fldChar w:fldCharType="separate"/>
      </w:r>
      <w:r>
        <w:rPr>
          <w:rFonts w:ascii="楷体" w:eastAsia="楷体" w:cs="楷体" w:hint="eastAsia"/>
          <w:bCs/>
          <w:sz w:val="24"/>
          <w:szCs w:val="24"/>
        </w:rPr>
        <w:t>（一）加分原则</w:t>
      </w:r>
      <w:r>
        <w:rPr>
          <w:sz w:val="24"/>
          <w:szCs w:val="24"/>
        </w:rPr>
        <w:tab/>
        <w:t>1</w:t>
      </w:r>
      <w:r>
        <w:fldChar w:fldCharType="end"/>
      </w:r>
      <w:r>
        <w:rPr>
          <w:sz w:val="24"/>
          <w:szCs w:val="24"/>
        </w:rPr>
        <w:t>1</w:t>
      </w:r>
    </w:p>
    <w:p>
      <w:pPr>
        <w:pStyle w:val="23"/>
        <w:tabs>
          <w:tab w:val="right" w:leader="dot" w:pos="8306"/>
        </w:tabs>
        <w:spacing w:line="440" w:lineRule="exact"/>
        <w:rPr>
          <w:sz w:val="24"/>
          <w:szCs w:val="24"/>
        </w:rPr>
      </w:pPr>
      <w:r>
        <w:fldChar w:fldCharType="begin"/>
      </w:r>
      <w:r>
        <w:instrText>Hyperlink \l "_Toc14075"</w:instrText>
      </w:r>
      <w:r>
        <w:fldChar w:fldCharType="separate"/>
      </w:r>
      <w:r>
        <w:rPr>
          <w:rFonts w:ascii="楷体" w:eastAsia="楷体" w:cs="楷体" w:hint="eastAsia"/>
          <w:bCs/>
          <w:sz w:val="24"/>
          <w:szCs w:val="24"/>
        </w:rPr>
        <w:t>（二）加分对象</w:t>
      </w:r>
      <w:r>
        <w:rPr>
          <w:sz w:val="24"/>
          <w:szCs w:val="24"/>
        </w:rPr>
        <w:tab/>
      </w:r>
      <w:r>
        <w:rPr>
          <w:sz w:val="24"/>
          <w:szCs w:val="24"/>
        </w:rPr>
        <w:fldChar w:fldCharType="begin"/>
      </w:r>
      <w:r>
        <w:rPr>
          <w:sz w:val="24"/>
          <w:szCs w:val="24"/>
        </w:rPr>
        <w:instrText xml:space="preserve"> PAGEREF _Toc14075 </w:instrText>
      </w:r>
      <w:r>
        <w:rPr>
          <w:sz w:val="24"/>
          <w:szCs w:val="24"/>
        </w:rPr>
        <w:fldChar w:fldCharType="separate"/>
      </w:r>
      <w:r>
        <w:rPr>
          <w:sz w:val="24"/>
          <w:szCs w:val="24"/>
        </w:rPr>
        <w:t>12</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"_Toc11357"</w:instrText>
      </w:r>
      <w:r>
        <w:fldChar w:fldCharType="separate"/>
      </w:r>
      <w:r>
        <w:rPr>
          <w:rFonts w:ascii="楷体" w:eastAsia="楷体" w:cs="楷体" w:hint="eastAsia"/>
          <w:bCs/>
          <w:sz w:val="24"/>
          <w:szCs w:val="24"/>
        </w:rPr>
        <w:t>（三）加分证明材料</w:t>
      </w:r>
      <w:r>
        <w:rPr>
          <w:sz w:val="24"/>
          <w:szCs w:val="24"/>
        </w:rPr>
        <w:tab/>
      </w:r>
      <w:r>
        <w:rPr>
          <w:sz w:val="24"/>
          <w:szCs w:val="24"/>
        </w:rPr>
        <w:fldChar w:fldCharType="begin"/>
      </w:r>
      <w:r>
        <w:rPr>
          <w:sz w:val="24"/>
          <w:szCs w:val="24"/>
        </w:rPr>
        <w:instrText xml:space="preserve"> PAGEREF _Toc11357 </w:instrText>
      </w:r>
      <w:r>
        <w:rPr>
          <w:sz w:val="24"/>
          <w:szCs w:val="24"/>
        </w:rPr>
        <w:fldChar w:fldCharType="separate"/>
      </w:r>
      <w:r>
        <w:rPr>
          <w:sz w:val="24"/>
          <w:szCs w:val="24"/>
        </w:rPr>
        <w:t>14</w:t>
      </w:r>
      <w:r>
        <w:rPr>
          <w:sz w:val="24"/>
          <w:szCs w:val="24"/>
        </w:rPr>
        <w:fldChar w:fldCharType="end"/>
      </w:r>
      <w:r>
        <w:fldChar w:fldCharType="end"/>
      </w:r>
    </w:p>
    <w:p>
      <w:pPr>
        <w:pStyle w:val="21"/>
        <w:tabs>
          <w:tab w:val="right" w:leader="dot" w:pos="8306"/>
        </w:tabs>
        <w:spacing w:line="440" w:lineRule="exact"/>
        <w:rPr>
          <w:sz w:val="24"/>
          <w:szCs w:val="24"/>
        </w:rPr>
      </w:pPr>
      <w:r>
        <w:fldChar w:fldCharType="begin"/>
      </w:r>
      <w:r>
        <w:instrText>Hyperlink \l "_Toc30921"</w:instrText>
      </w:r>
      <w:r>
        <w:fldChar w:fldCharType="separate"/>
      </w:r>
      <w:r>
        <w:rPr>
          <w:rFonts w:ascii="黑体" w:eastAsia="黑体" w:hint="eastAsia"/>
          <w:bCs/>
          <w:sz w:val="24"/>
          <w:szCs w:val="24"/>
        </w:rPr>
        <w:t>九、综合总分计算</w:t>
      </w:r>
      <w:r>
        <w:rPr>
          <w:sz w:val="24"/>
          <w:szCs w:val="24"/>
        </w:rPr>
        <w:tab/>
      </w:r>
      <w:r>
        <w:rPr>
          <w:sz w:val="24"/>
          <w:szCs w:val="24"/>
        </w:rPr>
        <w:fldChar w:fldCharType="begin"/>
      </w:r>
      <w:r>
        <w:rPr>
          <w:sz w:val="24"/>
          <w:szCs w:val="24"/>
        </w:rPr>
        <w:instrText xml:space="preserve"> PAGEREF _Toc30921 </w:instrText>
      </w:r>
      <w:r>
        <w:rPr>
          <w:sz w:val="24"/>
          <w:szCs w:val="24"/>
        </w:rPr>
        <w:fldChar w:fldCharType="separate"/>
      </w:r>
      <w:r>
        <w:rPr>
          <w:sz w:val="24"/>
          <w:szCs w:val="24"/>
        </w:rPr>
        <w:t>1</w:t>
      </w:r>
      <w:r>
        <w:rPr>
          <w:sz w:val="24"/>
          <w:szCs w:val="24"/>
        </w:rPr>
        <w:fldChar w:fldCharType="end"/>
      </w:r>
      <w:r>
        <w:fldChar w:fldCharType="end"/>
      </w:r>
      <w:r>
        <w:t>4</w:t>
      </w:r>
    </w:p>
    <w:p>
      <w:pPr>
        <w:pStyle w:val="21"/>
        <w:tabs>
          <w:tab w:val="right" w:leader="dot" w:pos="8306"/>
        </w:tabs>
        <w:spacing w:line="440" w:lineRule="exact"/>
        <w:rPr>
          <w:sz w:val="24"/>
          <w:szCs w:val="24"/>
        </w:rPr>
      </w:pPr>
      <w:r>
        <w:fldChar w:fldCharType="begin"/>
      </w:r>
      <w:r>
        <w:instrText>Hyperlink \l "_Toc4975"</w:instrText>
      </w:r>
      <w:r>
        <w:fldChar w:fldCharType="separate"/>
      </w:r>
      <w:r>
        <w:rPr>
          <w:rFonts w:ascii="黑体" w:eastAsia="黑体" w:hint="eastAsia"/>
          <w:bCs/>
          <w:sz w:val="24"/>
          <w:szCs w:val="24"/>
        </w:rPr>
        <w:t>十、体检和考察</w:t>
      </w:r>
      <w:r>
        <w:rPr>
          <w:sz w:val="24"/>
          <w:szCs w:val="24"/>
        </w:rPr>
        <w:tab/>
        <w:t>1</w:t>
      </w:r>
      <w:r>
        <w:fldChar w:fldCharType="end"/>
      </w:r>
      <w:r>
        <w:rPr>
          <w:sz w:val="24"/>
          <w:szCs w:val="24"/>
        </w:rPr>
        <w:t>5</w:t>
      </w:r>
    </w:p>
    <w:p>
      <w:pPr>
        <w:pStyle w:val="23"/>
        <w:tabs>
          <w:tab w:val="right" w:leader="dot" w:pos="8306"/>
        </w:tabs>
        <w:spacing w:line="440" w:lineRule="exact"/>
        <w:rPr>
          <w:sz w:val="24"/>
          <w:szCs w:val="24"/>
        </w:rPr>
      </w:pPr>
      <w:r>
        <w:fldChar w:fldCharType="begin"/>
      </w:r>
      <w:r>
        <w:instrText>Hyperlink \l "_Toc19566"</w:instrText>
      </w:r>
      <w:r>
        <w:fldChar w:fldCharType="separate"/>
      </w:r>
      <w:r>
        <w:rPr>
          <w:rFonts w:ascii="楷体" w:eastAsia="楷体" w:hint="eastAsia"/>
          <w:sz w:val="24"/>
          <w:szCs w:val="24"/>
        </w:rPr>
        <w:t>（一）确定体检和考察人选</w:t>
      </w:r>
      <w:r>
        <w:rPr>
          <w:sz w:val="24"/>
          <w:szCs w:val="24"/>
        </w:rPr>
        <w:tab/>
        <w:t>1</w:t>
      </w:r>
      <w:r>
        <w:fldChar w:fldCharType="end"/>
      </w:r>
      <w:r>
        <w:rPr>
          <w:sz w:val="24"/>
          <w:szCs w:val="24"/>
        </w:rPr>
        <w:t>5</w:t>
      </w:r>
    </w:p>
    <w:p>
      <w:pPr>
        <w:pStyle w:val="23"/>
        <w:tabs>
          <w:tab w:val="right" w:leader="dot" w:pos="8306"/>
        </w:tabs>
        <w:spacing w:line="440" w:lineRule="exact"/>
        <w:rPr>
          <w:sz w:val="24"/>
          <w:szCs w:val="24"/>
        </w:rPr>
      </w:pPr>
      <w:r>
        <w:fldChar w:fldCharType="begin"/>
      </w:r>
      <w:r>
        <w:instrText>Hyperlink \l "_Toc11405"</w:instrText>
      </w:r>
      <w:r>
        <w:fldChar w:fldCharType="separate"/>
      </w:r>
      <w:r>
        <w:rPr>
          <w:rFonts w:ascii="楷体" w:eastAsia="楷体" w:hint="eastAsia"/>
          <w:sz w:val="24"/>
          <w:szCs w:val="24"/>
        </w:rPr>
        <w:t>（二）组织体检和考察</w:t>
      </w:r>
      <w:r>
        <w:rPr>
          <w:sz w:val="24"/>
          <w:szCs w:val="24"/>
        </w:rPr>
        <w:tab/>
        <w:t>1</w:t>
      </w:r>
      <w:r>
        <w:fldChar w:fldCharType="end"/>
      </w:r>
      <w:r>
        <w:rPr>
          <w:sz w:val="24"/>
          <w:szCs w:val="24"/>
        </w:rPr>
        <w:t>5</w:t>
      </w:r>
    </w:p>
    <w:p>
      <w:pPr>
        <w:pStyle w:val="23"/>
        <w:tabs>
          <w:tab w:val="right" w:leader="dot" w:pos="8306"/>
        </w:tabs>
        <w:spacing w:line="440" w:lineRule="exact"/>
        <w:rPr>
          <w:sz w:val="24"/>
          <w:szCs w:val="24"/>
        </w:rPr>
      </w:pPr>
      <w:r>
        <w:fldChar w:fldCharType="begin"/>
      </w:r>
      <w:r>
        <w:instrText>Hyperlink \l "_Toc14600"</w:instrText>
      </w:r>
      <w:r>
        <w:fldChar w:fldCharType="separate"/>
      </w:r>
      <w:r>
        <w:rPr>
          <w:rFonts w:ascii="楷体" w:eastAsia="楷体" w:hint="eastAsia"/>
          <w:sz w:val="24"/>
          <w:szCs w:val="24"/>
        </w:rPr>
        <w:t>（三）体检依据</w:t>
      </w:r>
      <w:r>
        <w:rPr>
          <w:sz w:val="24"/>
          <w:szCs w:val="24"/>
        </w:rPr>
        <w:tab/>
      </w:r>
      <w:r>
        <w:rPr>
          <w:sz w:val="24"/>
          <w:szCs w:val="24"/>
        </w:rPr>
        <w:fldChar w:fldCharType="begin"/>
      </w:r>
      <w:r>
        <w:rPr>
          <w:sz w:val="24"/>
          <w:szCs w:val="24"/>
        </w:rPr>
        <w:instrText xml:space="preserve"> PAGEREF _Toc14600 </w:instrText>
      </w:r>
      <w:r>
        <w:rPr>
          <w:sz w:val="24"/>
          <w:szCs w:val="24"/>
        </w:rPr>
        <w:fldChar w:fldCharType="separate"/>
      </w:r>
      <w:r>
        <w:rPr>
          <w:sz w:val="24"/>
          <w:szCs w:val="24"/>
        </w:rPr>
        <w:t>16</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"_Toc25220"</w:instrText>
      </w:r>
      <w:r>
        <w:fldChar w:fldCharType="separate"/>
      </w:r>
      <w:r>
        <w:rPr>
          <w:rFonts w:ascii="楷体" w:eastAsia="楷体" w:hint="eastAsia"/>
          <w:sz w:val="24"/>
          <w:szCs w:val="24"/>
        </w:rPr>
        <w:t>（四）体检复检</w:t>
      </w:r>
      <w:r>
        <w:rPr>
          <w:sz w:val="24"/>
          <w:szCs w:val="24"/>
        </w:rPr>
        <w:tab/>
      </w:r>
      <w:r>
        <w:rPr>
          <w:sz w:val="24"/>
          <w:szCs w:val="24"/>
        </w:rPr>
        <w:fldChar w:fldCharType="begin"/>
      </w:r>
      <w:r>
        <w:rPr>
          <w:sz w:val="24"/>
          <w:szCs w:val="24"/>
        </w:rPr>
        <w:instrText xml:space="preserve"> PAGEREF _Toc25220 </w:instrText>
      </w:r>
      <w:r>
        <w:rPr>
          <w:sz w:val="24"/>
          <w:szCs w:val="24"/>
        </w:rPr>
        <w:fldChar w:fldCharType="separate"/>
      </w:r>
      <w:r>
        <w:rPr>
          <w:sz w:val="24"/>
          <w:szCs w:val="24"/>
        </w:rPr>
        <w:t>16</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"_Toc14586"</w:instrText>
      </w:r>
      <w:r>
        <w:fldChar w:fldCharType="separate"/>
      </w:r>
      <w:r>
        <w:rPr>
          <w:rFonts w:ascii="楷体" w:eastAsia="楷体" w:hint="eastAsia"/>
          <w:sz w:val="24"/>
          <w:szCs w:val="24"/>
        </w:rPr>
        <w:t>（五）可延迟体检的情形</w:t>
      </w:r>
      <w:r>
        <w:rPr>
          <w:sz w:val="24"/>
          <w:szCs w:val="24"/>
        </w:rPr>
        <w:tab/>
      </w:r>
      <w:r>
        <w:rPr>
          <w:sz w:val="24"/>
          <w:szCs w:val="24"/>
        </w:rPr>
        <w:fldChar w:fldCharType="begin"/>
      </w:r>
      <w:r>
        <w:rPr>
          <w:sz w:val="24"/>
          <w:szCs w:val="24"/>
        </w:rPr>
        <w:instrText xml:space="preserve"> PAGEREF _Toc14586 </w:instrText>
      </w:r>
      <w:r>
        <w:rPr>
          <w:sz w:val="24"/>
          <w:szCs w:val="24"/>
        </w:rPr>
        <w:fldChar w:fldCharType="separate"/>
      </w:r>
      <w:r>
        <w:rPr>
          <w:sz w:val="24"/>
          <w:szCs w:val="24"/>
        </w:rPr>
        <w:t>17</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"_Toc15813"</w:instrText>
      </w:r>
      <w:r>
        <w:fldChar w:fldCharType="separate"/>
      </w:r>
      <w:r>
        <w:rPr>
          <w:rFonts w:ascii="楷体" w:eastAsia="楷体" w:hint="eastAsia"/>
          <w:sz w:val="24"/>
          <w:szCs w:val="24"/>
        </w:rPr>
        <w:t>（六）考察</w:t>
      </w:r>
      <w:r>
        <w:rPr>
          <w:sz w:val="24"/>
          <w:szCs w:val="24"/>
        </w:rPr>
        <w:tab/>
      </w:r>
      <w:r>
        <w:rPr>
          <w:sz w:val="24"/>
          <w:szCs w:val="24"/>
        </w:rPr>
        <w:fldChar w:fldCharType="begin"/>
      </w:r>
      <w:r>
        <w:rPr>
          <w:sz w:val="24"/>
          <w:szCs w:val="24"/>
        </w:rPr>
        <w:instrText xml:space="preserve"> PAGEREF _Toc15813 </w:instrText>
      </w:r>
      <w:r>
        <w:rPr>
          <w:sz w:val="24"/>
          <w:szCs w:val="24"/>
        </w:rPr>
        <w:fldChar w:fldCharType="separate"/>
      </w:r>
      <w:r>
        <w:rPr>
          <w:sz w:val="24"/>
          <w:szCs w:val="24"/>
        </w:rPr>
        <w:t>17</w:t>
      </w:r>
      <w:r>
        <w:rPr>
          <w:sz w:val="24"/>
          <w:szCs w:val="24"/>
        </w:rPr>
        <w:fldChar w:fldCharType="end"/>
      </w:r>
      <w:r>
        <w:fldChar w:fldCharType="end"/>
      </w:r>
    </w:p>
    <w:p>
      <w:pPr>
        <w:pStyle w:val="21"/>
        <w:tabs>
          <w:tab w:val="right" w:leader="dot" w:pos="8306"/>
        </w:tabs>
        <w:spacing w:line="440" w:lineRule="exact"/>
        <w:rPr>
          <w:sz w:val="24"/>
          <w:szCs w:val="24"/>
        </w:rPr>
      </w:pPr>
      <w:r>
        <w:fldChar w:fldCharType="begin"/>
      </w:r>
      <w:r>
        <w:instrText>Hyperlink \l "_Toc21516"</w:instrText>
      </w:r>
      <w:r>
        <w:fldChar w:fldCharType="separate"/>
      </w:r>
      <w:r>
        <w:rPr>
          <w:rFonts w:ascii="黑体" w:eastAsia="黑体" w:hint="eastAsia"/>
          <w:bCs/>
          <w:sz w:val="24"/>
          <w:szCs w:val="24"/>
        </w:rPr>
        <w:t>十一 拟聘用公示</w:t>
      </w:r>
      <w:r>
        <w:rPr>
          <w:sz w:val="24"/>
          <w:szCs w:val="24"/>
        </w:rPr>
        <w:tab/>
        <w:t>1</w:t>
      </w:r>
      <w:r>
        <w:fldChar w:fldCharType="end"/>
      </w:r>
      <w:r>
        <w:rPr>
          <w:sz w:val="24"/>
          <w:szCs w:val="24"/>
        </w:rPr>
        <w:t>8</w:t>
      </w:r>
    </w:p>
    <w:p>
      <w:pPr>
        <w:pStyle w:val="21"/>
        <w:tabs>
          <w:tab w:val="right" w:leader="dot" w:pos="8306"/>
        </w:tabs>
        <w:spacing w:line="440" w:lineRule="exact"/>
        <w:rPr>
          <w:sz w:val="24"/>
          <w:szCs w:val="24"/>
        </w:rPr>
      </w:pPr>
      <w:r>
        <w:fldChar w:fldCharType="begin"/>
      </w:r>
      <w:r>
        <w:instrText>Hyperlink \l "_Toc11186"</w:instrText>
      </w:r>
      <w:r>
        <w:fldChar w:fldCharType="separate"/>
      </w:r>
      <w:r>
        <w:rPr>
          <w:rFonts w:ascii="黑体" w:eastAsia="黑体" w:hint="eastAsia"/>
          <w:bCs/>
          <w:sz w:val="24"/>
          <w:szCs w:val="24"/>
        </w:rPr>
        <w:t>十二、聘用</w:t>
      </w:r>
      <w:r>
        <w:rPr>
          <w:sz w:val="24"/>
          <w:szCs w:val="24"/>
        </w:rPr>
        <w:tab/>
        <w:t>1</w:t>
      </w:r>
      <w:r>
        <w:fldChar w:fldCharType="end"/>
      </w:r>
      <w:r>
        <w:rPr>
          <w:sz w:val="24"/>
          <w:szCs w:val="24"/>
        </w:rPr>
        <w:t>8</w:t>
      </w:r>
    </w:p>
    <w:p>
      <w:pPr>
        <w:pStyle w:val="23"/>
        <w:tabs>
          <w:tab w:val="right" w:leader="dot" w:pos="8306"/>
        </w:tabs>
        <w:spacing w:line="440" w:lineRule="exact"/>
        <w:rPr>
          <w:sz w:val="24"/>
          <w:szCs w:val="24"/>
        </w:rPr>
      </w:pPr>
      <w:r>
        <w:fldChar w:fldCharType="begin"/>
      </w:r>
      <w:r>
        <w:instrText>Hyperlink \l "_Toc31746"</w:instrText>
      </w:r>
      <w:r>
        <w:fldChar w:fldCharType="separate"/>
      </w:r>
      <w:r>
        <w:rPr>
          <w:rFonts w:ascii="楷体" w:eastAsia="楷体" w:hint="eastAsia"/>
          <w:sz w:val="24"/>
          <w:szCs w:val="24"/>
        </w:rPr>
        <w:t>（一）聘用手续办理</w:t>
      </w:r>
      <w:r>
        <w:rPr>
          <w:sz w:val="24"/>
          <w:szCs w:val="24"/>
        </w:rPr>
        <w:tab/>
      </w:r>
      <w:r>
        <w:rPr>
          <w:sz w:val="24"/>
          <w:szCs w:val="24"/>
        </w:rPr>
        <w:fldChar w:fldCharType="begin"/>
      </w:r>
      <w:r>
        <w:rPr>
          <w:sz w:val="24"/>
          <w:szCs w:val="24"/>
        </w:rPr>
        <w:instrText xml:space="preserve"> PAGEREF _Toc31746 </w:instrText>
      </w:r>
      <w:r>
        <w:rPr>
          <w:sz w:val="24"/>
          <w:szCs w:val="24"/>
        </w:rPr>
        <w:fldChar w:fldCharType="separate"/>
      </w:r>
      <w:r>
        <w:rPr>
          <w:sz w:val="24"/>
          <w:szCs w:val="24"/>
        </w:rPr>
        <w:t>18</w:t>
      </w:r>
      <w:r>
        <w:rPr>
          <w:sz w:val="24"/>
          <w:szCs w:val="24"/>
        </w:rPr>
        <w:fldChar w:fldCharType="end"/>
      </w:r>
      <w:r>
        <w:fldChar w:fldCharType="end"/>
      </w:r>
    </w:p>
    <w:p>
      <w:pPr>
        <w:pStyle w:val="23"/>
        <w:tabs>
          <w:tab w:val="right" w:leader="dot" w:pos="8306"/>
        </w:tabs>
        <w:spacing w:line="440" w:lineRule="exact"/>
        <w:rPr>
          <w:sz w:val="24"/>
          <w:szCs w:val="24"/>
        </w:rPr>
      </w:pPr>
      <w:r>
        <w:fldChar w:fldCharType="begin"/>
      </w:r>
      <w:r>
        <w:instrText>Hyperlink \l "_Toc20795"</w:instrText>
      </w:r>
      <w:r>
        <w:fldChar w:fldCharType="separate"/>
      </w:r>
      <w:r>
        <w:rPr>
          <w:rFonts w:ascii="楷体" w:eastAsia="楷体" w:hint="eastAsia"/>
          <w:sz w:val="24"/>
          <w:szCs w:val="24"/>
        </w:rPr>
        <w:t>（二）岗位聘任</w:t>
      </w:r>
      <w:r>
        <w:rPr>
          <w:sz w:val="24"/>
          <w:szCs w:val="24"/>
        </w:rPr>
        <w:tab/>
        <w:t>1</w:t>
      </w:r>
      <w:r>
        <w:fldChar w:fldCharType="end"/>
      </w:r>
      <w:r>
        <w:rPr>
          <w:sz w:val="24"/>
          <w:szCs w:val="24"/>
        </w:rPr>
        <w:t>8</w:t>
      </w:r>
    </w:p>
    <w:p>
      <w:pPr>
        <w:pStyle w:val="21"/>
        <w:tabs>
          <w:tab w:val="right" w:leader="dot" w:pos="8306"/>
        </w:tabs>
        <w:spacing w:line="440" w:lineRule="exact"/>
        <w:rPr>
          <w:sz w:val="24"/>
          <w:szCs w:val="24"/>
        </w:rPr>
      </w:pPr>
      <w:r>
        <w:fldChar w:fldCharType="begin"/>
      </w:r>
      <w:r>
        <w:instrText>Hyperlink \l "_Toc23363"</w:instrText>
      </w:r>
      <w:r>
        <w:fldChar w:fldCharType="separate"/>
      </w:r>
      <w:r>
        <w:rPr>
          <w:rFonts w:ascii="黑体" w:eastAsia="黑体" w:hint="eastAsia"/>
          <w:bCs/>
          <w:sz w:val="24"/>
          <w:szCs w:val="24"/>
        </w:rPr>
        <w:t>十三、其他事项</w:t>
      </w:r>
      <w:r>
        <w:rPr>
          <w:sz w:val="24"/>
          <w:szCs w:val="24"/>
        </w:rPr>
        <w:tab/>
        <w:t>1</w:t>
      </w:r>
      <w:r>
        <w:fldChar w:fldCharType="end"/>
      </w:r>
      <w:r>
        <w:rPr>
          <w:sz w:val="24"/>
          <w:szCs w:val="24"/>
        </w:rPr>
        <w:t>9</w:t>
      </w:r>
    </w:p>
    <w:p>
      <w:pPr>
        <w:pStyle w:val="23"/>
        <w:tabs>
          <w:tab w:val="right" w:leader="dot" w:pos="8306"/>
        </w:tabs>
        <w:spacing w:line="440" w:lineRule="exact"/>
        <w:rPr>
          <w:sz w:val="24"/>
          <w:szCs w:val="24"/>
        </w:rPr>
      </w:pPr>
      <w:r>
        <w:fldChar w:fldCharType="begin"/>
      </w:r>
      <w:r>
        <w:instrText>Hyperlink \l "_Toc3459"</w:instrText>
      </w:r>
      <w:r>
        <w:fldChar w:fldCharType="separate"/>
      </w:r>
      <w:r>
        <w:rPr>
          <w:rFonts w:ascii="楷体" w:eastAsia="楷体" w:hint="eastAsia"/>
          <w:sz w:val="24"/>
          <w:szCs w:val="24"/>
        </w:rPr>
        <w:t>（</w:t>
      </w:r>
      <w:r>
        <w:rPr>
          <w:rFonts w:ascii="楷体" w:eastAsia="楷体"/>
          <w:sz w:val="24"/>
          <w:szCs w:val="24"/>
        </w:rPr>
        <w:t>一</w:t>
      </w:r>
      <w:r>
        <w:rPr>
          <w:rFonts w:ascii="楷体" w:eastAsia="楷体" w:hint="eastAsia"/>
          <w:sz w:val="24"/>
          <w:szCs w:val="24"/>
        </w:rPr>
        <w:t>）生源</w:t>
      </w:r>
      <w:r>
        <w:rPr>
          <w:sz w:val="24"/>
          <w:szCs w:val="24"/>
        </w:rPr>
        <w:tab/>
      </w:r>
      <w:r>
        <w:rPr>
          <w:sz w:val="24"/>
          <w:szCs w:val="24"/>
        </w:rPr>
        <w:fldChar w:fldCharType="begin"/>
      </w:r>
      <w:r>
        <w:rPr>
          <w:sz w:val="24"/>
          <w:szCs w:val="24"/>
        </w:rPr>
        <w:instrText xml:space="preserve"> PAGEREF _Toc20379 </w:instrText>
      </w:r>
      <w:r>
        <w:rPr>
          <w:sz w:val="24"/>
          <w:szCs w:val="24"/>
        </w:rPr>
        <w:fldChar w:fldCharType="separate"/>
      </w:r>
      <w:r>
        <w:rPr>
          <w:sz w:val="24"/>
          <w:szCs w:val="24"/>
        </w:rPr>
        <w:t>19</w:t>
      </w:r>
      <w:r>
        <w:rPr>
          <w:sz w:val="24"/>
          <w:szCs w:val="24"/>
        </w:rPr>
        <w:fldChar w:fldCharType="end"/>
      </w:r>
      <w:r>
        <w:fldChar w:fldCharType="end"/>
      </w:r>
    </w:p>
    <w:p>
      <w:pPr>
        <w:pStyle w:val="23"/>
        <w:tabs>
          <w:tab w:val="right" w:leader="dot" w:pos="8306"/>
        </w:tabs>
        <w:spacing w:line="440" w:lineRule="exact"/>
      </w:pPr>
      <w:r>
        <w:fldChar w:fldCharType="begin"/>
      </w:r>
      <w:r>
        <w:instrText>Hyperlink \l "_Toc20379"</w:instrText>
      </w:r>
      <w:r>
        <w:fldChar w:fldCharType="separate"/>
      </w:r>
      <w:r>
        <w:rPr>
          <w:rFonts w:ascii="楷体" w:eastAsia="楷体" w:hint="eastAsia"/>
          <w:sz w:val="24"/>
          <w:szCs w:val="24"/>
        </w:rPr>
        <w:t>（</w:t>
      </w:r>
      <w:r>
        <w:rPr>
          <w:rFonts w:ascii="楷体" w:eastAsia="楷体"/>
          <w:sz w:val="24"/>
          <w:szCs w:val="24"/>
        </w:rPr>
        <w:t>二</w:t>
      </w:r>
      <w:r>
        <w:rPr>
          <w:rFonts w:ascii="楷体" w:eastAsia="楷体" w:hint="eastAsia"/>
          <w:sz w:val="24"/>
          <w:szCs w:val="24"/>
        </w:rPr>
        <w:t>）港澳台人员</w:t>
      </w:r>
      <w:r>
        <w:rPr>
          <w:sz w:val="24"/>
          <w:szCs w:val="24"/>
        </w:rPr>
        <w:tab/>
        <w:t>20</w:t>
      </w:r>
      <w:r>
        <w:fldChar w:fldCharType="end"/>
      </w:r>
    </w:p>
    <w:p>
      <w:pPr>
        <w:pStyle w:val="21"/>
        <w:tabs>
          <w:tab w:val="right" w:leader="dot" w:pos="8306"/>
        </w:tabs>
        <w:spacing w:line="440" w:lineRule="exact"/>
        <w:ind w:left="0" w:firstLineChars="200" w:firstLine="480"/>
      </w:pPr>
      <w:r>
        <w:rPr>
          <w:rFonts w:ascii="楷体" w:eastAsia="楷体"/>
          <w:sz w:val="24"/>
          <w:szCs w:val="24"/>
        </w:rPr>
        <w:t>（</w:t>
      </w:r>
      <w:r>
        <w:rPr>
          <w:rFonts w:ascii="楷体" w:eastAsia="楷体" w:hint="eastAsia"/>
          <w:sz w:val="24"/>
          <w:szCs w:val="24"/>
        </w:rPr>
        <w:t>三）技工院校毕业生</w:t>
      </w:r>
      <w:r>
        <w:t>..............................................................................................20</w:t>
      </w:r>
    </w:p>
    <w:p>
      <w:pPr>
        <w:pStyle w:val="21"/>
        <w:tabs>
          <w:tab w:val="right" w:leader="dot" w:pos="8306"/>
        </w:tabs>
        <w:spacing w:line="440" w:lineRule="exact"/>
        <w:rPr>
          <w:sz w:val="24"/>
          <w:szCs w:val="24"/>
        </w:rPr>
      </w:pPr>
      <w:r>
        <w:fldChar w:fldCharType="begin"/>
      </w:r>
      <w:r>
        <w:instrText>Hyperlink \l "_Toc15165"</w:instrText>
      </w:r>
      <w:r>
        <w:fldChar w:fldCharType="separate"/>
      </w:r>
      <w:r>
        <w:rPr>
          <w:rFonts w:ascii="黑体" w:eastAsia="黑体" w:hint="eastAsia"/>
          <w:bCs/>
          <w:sz w:val="24"/>
          <w:szCs w:val="24"/>
        </w:rPr>
        <w:t>十</w:t>
      </w:r>
      <w:r>
        <w:rPr>
          <w:rFonts w:ascii="黑体" w:eastAsia="黑体"/>
          <w:bCs/>
          <w:sz w:val="24"/>
          <w:szCs w:val="24"/>
        </w:rPr>
        <w:t>四</w:t>
      </w:r>
      <w:r>
        <w:rPr>
          <w:rFonts w:ascii="黑体" w:eastAsia="黑体" w:hint="eastAsia"/>
          <w:bCs/>
          <w:sz w:val="24"/>
          <w:szCs w:val="24"/>
        </w:rPr>
        <w:t>、疫情防控要求</w:t>
      </w:r>
      <w:r>
        <w:rPr>
          <w:sz w:val="24"/>
          <w:szCs w:val="24"/>
        </w:rPr>
        <w:tab/>
      </w:r>
      <w:r>
        <w:rPr>
          <w:sz w:val="24"/>
          <w:szCs w:val="24"/>
        </w:rPr>
        <w:fldChar w:fldCharType="begin"/>
      </w:r>
      <w:r>
        <w:rPr>
          <w:sz w:val="24"/>
          <w:szCs w:val="24"/>
        </w:rPr>
        <w:instrText xml:space="preserve"> PAGEREF _Toc15165 </w:instrText>
      </w:r>
      <w:r>
        <w:rPr>
          <w:sz w:val="24"/>
          <w:szCs w:val="24"/>
        </w:rPr>
        <w:fldChar w:fldCharType="separate"/>
      </w:r>
      <w:r>
        <w:rPr>
          <w:sz w:val="24"/>
          <w:szCs w:val="24"/>
        </w:rPr>
        <w:t>20</w:t>
      </w:r>
      <w:r>
        <w:rPr>
          <w:sz w:val="24"/>
          <w:szCs w:val="24"/>
        </w:rPr>
        <w:fldChar w:fldCharType="end"/>
      </w:r>
      <w:r>
        <w:fldChar w:fldCharType="end"/>
      </w:r>
    </w:p>
    <w:p>
      <w:pPr>
        <w:pStyle w:val="23"/>
        <w:tabs>
          <w:tab w:val="right" w:leader="dot" w:pos="8306"/>
        </w:tabs>
        <w:spacing w:line="440" w:lineRule="exact"/>
        <w:rPr>
          <w:sz w:val="24"/>
          <w:szCs w:val="24"/>
        </w:rPr>
      </w:pPr>
    </w:p>
    <w:p>
      <w:pPr>
        <w:spacing w:line="360" w:lineRule="exact"/>
        <w:rPr>
          <w:rFonts w:ascii="仿宋_GB2312" w:eastAsia="仿宋_GB2312"/>
        </w:rPr>
      </w:pPr>
      <w:r>
        <w:rPr>
          <w:rFonts w:ascii="仿宋" w:eastAsia="仿宋" w:cs="仿宋" w:hint="eastAsia"/>
          <w:sz w:val="24"/>
          <w:szCs w:val="24"/>
        </w:rPr>
        <w:fldChar w:fldCharType="end"/>
      </w:r>
    </w:p>
    <w:p>
      <w:pPr>
        <w:spacing w:line="360" w:lineRule="auto"/>
        <w:ind w:firstLineChars="200" w:firstLine="640"/>
        <w:rPr>
          <w:rFonts w:ascii="仿宋_GB2312" w:eastAsia="仿宋_GB2312"/>
          <w:sz w:val="32"/>
          <w:szCs w:val="32"/>
        </w:rPr>
        <w:sectPr>
          <w:footerReference w:type="default" r:id="rId2"/>
          <w:pgSz w:w="11907" w:h="16840"/>
          <w:pgMar w:top="1440" w:right="1803" w:bottom="1440" w:left="1803" w:header="851" w:footer="992" w:gutter="0"/>
          <w:pgNumType w:start="1"/>
          <w:docGrid w:type="lines" w:linePitch="312" w:charSpace="0"/>
        </w:sectPr>
      </w:pPr>
    </w:p>
    <w:p>
      <w:pPr>
        <w:spacing w:line="360" w:lineRule="auto"/>
        <w:ind w:firstLineChars="250" w:firstLine="800"/>
        <w:rPr>
          <w:rFonts w:ascii="仿宋" w:eastAsia="仿宋"/>
          <w:sz w:val="32"/>
          <w:szCs w:val="32"/>
        </w:rPr>
      </w:pPr>
      <w:r>
        <w:rPr>
          <w:rFonts w:ascii="仿宋" w:eastAsia="仿宋" w:hint="eastAsia"/>
          <w:sz w:val="32"/>
          <w:szCs w:val="32"/>
        </w:rPr>
        <w:t>本指南仅适用于</w:t>
      </w:r>
      <w:r>
        <w:rPr>
          <w:rFonts w:ascii="仿宋" w:eastAsia="仿宋"/>
          <w:sz w:val="32"/>
          <w:szCs w:val="32"/>
        </w:rPr>
        <w:t>厦门港口管理局所属事业单位</w:t>
      </w:r>
      <w:r>
        <w:rPr>
          <w:rFonts w:ascii="仿宋" w:eastAsia="仿宋" w:hint="eastAsia"/>
          <w:sz w:val="32"/>
          <w:szCs w:val="32"/>
        </w:rPr>
        <w:t>厦门港引航站补充编内工作人员考试（2021年3月），由厦门港口管理局负责解释。</w:t>
      </w:r>
    </w:p>
    <w:p>
      <w:pPr>
        <w:spacing w:line="360" w:lineRule="auto"/>
        <w:rPr>
          <w:rFonts w:ascii="仿宋" w:eastAsia="仿宋"/>
          <w:b/>
          <w:bCs/>
          <w:sz w:val="32"/>
          <w:szCs w:val="32"/>
        </w:rPr>
      </w:pPr>
      <w:r>
        <w:rPr>
          <w:rFonts w:ascii="仿宋" w:eastAsia="仿宋" w:hint="eastAsia"/>
          <w:sz w:val="32"/>
          <w:szCs w:val="32"/>
        </w:rPr>
        <w:t xml:space="preserve"> </w:t>
      </w:r>
      <w:bookmarkStart w:id="3" w:name="_Toc46222481"/>
      <w:r>
        <w:rPr>
          <w:rFonts w:ascii="仿宋" w:eastAsia="仿宋"/>
          <w:sz w:val="32"/>
          <w:szCs w:val="32"/>
        </w:rPr>
        <w:t xml:space="preserve">    </w:t>
      </w:r>
      <w:r>
        <w:rPr>
          <w:rFonts w:ascii="仿宋" w:eastAsia="仿宋" w:hint="eastAsia"/>
          <w:b/>
          <w:bCs/>
          <w:sz w:val="32"/>
          <w:szCs w:val="32"/>
        </w:rPr>
        <w:t>一、基本条件</w:t>
      </w:r>
      <w:bookmarkEnd w:id="3"/>
    </w:p>
    <w:p>
      <w:pPr>
        <w:spacing w:line="360" w:lineRule="auto"/>
        <w:ind w:firstLineChars="200" w:firstLine="640"/>
        <w:rPr>
          <w:rFonts w:ascii="仿宋" w:eastAsia="仿宋"/>
          <w:sz w:val="32"/>
          <w:szCs w:val="32"/>
        </w:rPr>
      </w:pPr>
      <w:r>
        <w:rPr>
          <w:rFonts w:ascii="仿宋" w:eastAsia="仿宋" w:hint="eastAsia"/>
          <w:sz w:val="32"/>
          <w:szCs w:val="32"/>
        </w:rPr>
        <w:t>（一）具有中华人民共和国国籍；</w:t>
      </w:r>
    </w:p>
    <w:p>
      <w:pPr>
        <w:spacing w:line="360" w:lineRule="auto"/>
        <w:ind w:firstLineChars="200" w:firstLine="640"/>
        <w:rPr>
          <w:rFonts w:ascii="仿宋" w:eastAsia="仿宋"/>
          <w:sz w:val="32"/>
          <w:szCs w:val="32"/>
        </w:rPr>
      </w:pPr>
      <w:bookmarkStart w:id="4" w:name="_Toc32163_WPSOffice_Level2"/>
      <w:r>
        <w:rPr>
          <w:rFonts w:ascii="仿宋" w:eastAsia="仿宋" w:hint="eastAsia"/>
          <w:sz w:val="32"/>
          <w:szCs w:val="32"/>
        </w:rPr>
        <w:t>（二）拥护中华人民共和国宪法,拥护中国共产党领导和社会主义制度；</w:t>
      </w:r>
      <w:bookmarkEnd w:id="4"/>
    </w:p>
    <w:p>
      <w:pPr>
        <w:spacing w:line="360" w:lineRule="auto"/>
        <w:ind w:firstLineChars="200" w:firstLine="640"/>
        <w:rPr>
          <w:rFonts w:ascii="仿宋" w:eastAsia="仿宋"/>
          <w:sz w:val="32"/>
          <w:szCs w:val="32"/>
        </w:rPr>
      </w:pPr>
      <w:bookmarkStart w:id="5" w:name="_Toc12162_WPSOffice_Level2"/>
      <w:r>
        <w:rPr>
          <w:rFonts w:ascii="仿宋" w:eastAsia="仿宋" w:hint="eastAsia"/>
          <w:sz w:val="32"/>
          <w:szCs w:val="32"/>
        </w:rPr>
        <w:t>（三）具有良好的政治素质和道德品行</w:t>
      </w:r>
      <w:bookmarkEnd w:id="5"/>
      <w:r>
        <w:rPr>
          <w:rFonts w:ascii="仿宋" w:eastAsia="仿宋" w:hint="eastAsia"/>
          <w:sz w:val="32"/>
          <w:szCs w:val="32"/>
        </w:rPr>
        <w:t>，具有正常履行职责的身心条件；</w:t>
      </w:r>
    </w:p>
    <w:p>
      <w:pPr>
        <w:spacing w:line="360" w:lineRule="auto"/>
        <w:ind w:firstLineChars="200" w:firstLine="640"/>
        <w:rPr>
          <w:rFonts w:ascii="仿宋" w:eastAsia="仿宋"/>
          <w:sz w:val="32"/>
          <w:szCs w:val="32"/>
        </w:rPr>
      </w:pPr>
      <w:bookmarkStart w:id="6" w:name="_Toc24032_WPSOffice_Level2"/>
      <w:r>
        <w:rPr>
          <w:rFonts w:ascii="仿宋" w:eastAsia="仿宋" w:hint="eastAsia"/>
          <w:sz w:val="32"/>
          <w:szCs w:val="32"/>
        </w:rPr>
        <w:t>（四）具备招聘岗位设置的资格条件。</w:t>
      </w:r>
      <w:bookmarkEnd w:id="6"/>
    </w:p>
    <w:p>
      <w:pPr>
        <w:spacing w:line="360" w:lineRule="auto"/>
        <w:rPr>
          <w:rFonts w:ascii="仿宋" w:eastAsia="仿宋"/>
          <w:b/>
          <w:bCs/>
          <w:sz w:val="32"/>
          <w:szCs w:val="32"/>
        </w:rPr>
      </w:pPr>
      <w:r>
        <w:rPr>
          <w:rFonts w:ascii="仿宋" w:eastAsia="仿宋" w:hint="eastAsia"/>
          <w:sz w:val="32"/>
          <w:szCs w:val="32"/>
        </w:rPr>
        <w:t xml:space="preserve"> </w:t>
      </w:r>
      <w:bookmarkStart w:id="7" w:name="_Toc46222482"/>
      <w:r>
        <w:rPr>
          <w:rFonts w:ascii="仿宋" w:eastAsia="仿宋" w:hint="eastAsia"/>
          <w:sz w:val="32"/>
          <w:szCs w:val="32"/>
        </w:rPr>
        <w:t xml:space="preserve">    </w:t>
      </w:r>
      <w:r>
        <w:rPr>
          <w:rFonts w:ascii="仿宋" w:eastAsia="仿宋" w:hint="eastAsia"/>
          <w:b/>
          <w:bCs/>
          <w:sz w:val="32"/>
          <w:szCs w:val="32"/>
        </w:rPr>
        <w:t>二、不得报考或取消报考（聘用）资格的情形</w:t>
      </w:r>
      <w:bookmarkEnd w:id="7"/>
    </w:p>
    <w:p>
      <w:pPr>
        <w:spacing w:line="360" w:lineRule="auto"/>
        <w:ind w:firstLineChars="200" w:firstLine="640"/>
        <w:rPr>
          <w:rFonts w:ascii="仿宋" w:eastAsia="仿宋"/>
          <w:sz w:val="32"/>
          <w:szCs w:val="32"/>
        </w:rPr>
      </w:pPr>
      <w:r>
        <w:rPr>
          <w:rFonts w:ascii="仿宋" w:eastAsia="仿宋" w:hint="eastAsia"/>
          <w:sz w:val="32"/>
          <w:szCs w:val="32"/>
        </w:rPr>
        <w:t>（一）曾因犯罪受过刑事处罚的；</w:t>
      </w:r>
    </w:p>
    <w:p>
      <w:pPr>
        <w:spacing w:line="360" w:lineRule="auto"/>
        <w:ind w:firstLineChars="200" w:firstLine="640"/>
        <w:rPr>
          <w:rFonts w:ascii="仿宋" w:eastAsia="仿宋"/>
          <w:sz w:val="32"/>
          <w:szCs w:val="32"/>
        </w:rPr>
      </w:pPr>
      <w:r>
        <w:rPr>
          <w:rFonts w:ascii="仿宋" w:eastAsia="仿宋" w:hint="eastAsia"/>
          <w:sz w:val="32"/>
          <w:szCs w:val="32"/>
        </w:rPr>
        <w:t>（二）曾被开除公职的；</w:t>
      </w:r>
    </w:p>
    <w:p>
      <w:pPr>
        <w:spacing w:line="360" w:lineRule="auto"/>
        <w:ind w:firstLineChars="200" w:firstLine="640"/>
        <w:rPr>
          <w:rFonts w:ascii="仿宋" w:eastAsia="仿宋"/>
          <w:sz w:val="32"/>
          <w:szCs w:val="32"/>
        </w:rPr>
      </w:pPr>
      <w:r>
        <w:rPr>
          <w:rFonts w:ascii="仿宋" w:eastAsia="仿宋" w:hint="eastAsia"/>
          <w:sz w:val="32"/>
          <w:szCs w:val="32"/>
        </w:rPr>
        <w:t>（三）公务员或参照公务员法管理机关（单位）工作人员（以下简称“参公人员”）被辞退未满5年的；</w:t>
      </w:r>
    </w:p>
    <w:p>
      <w:pPr>
        <w:spacing w:line="360" w:lineRule="auto"/>
        <w:ind w:firstLineChars="200" w:firstLine="640"/>
        <w:rPr>
          <w:rFonts w:ascii="仿宋" w:eastAsia="仿宋"/>
          <w:sz w:val="32"/>
          <w:szCs w:val="32"/>
        </w:rPr>
      </w:pPr>
      <w:r>
        <w:rPr>
          <w:rFonts w:ascii="仿宋" w:eastAsia="仿宋" w:hint="eastAsia"/>
          <w:sz w:val="32"/>
          <w:szCs w:val="32"/>
        </w:rPr>
        <w:t>（四）考录（不含转任）后服务年限（含试用期）不满2年以及未达到与当地公务员主管部门或单位组织人事部门约定服务年限的公务员和参公人员；</w:t>
      </w:r>
    </w:p>
    <w:p>
      <w:pPr>
        <w:spacing w:line="360" w:lineRule="auto"/>
        <w:ind w:firstLineChars="200" w:firstLine="640"/>
        <w:rPr>
          <w:rFonts w:ascii="仿宋" w:eastAsia="仿宋"/>
          <w:sz w:val="32"/>
          <w:szCs w:val="32"/>
        </w:rPr>
      </w:pPr>
      <w:r>
        <w:rPr>
          <w:rFonts w:ascii="仿宋" w:eastAsia="仿宋" w:hint="eastAsia"/>
          <w:sz w:val="32"/>
          <w:szCs w:val="32"/>
        </w:rPr>
        <w:t>（五）报名时不是试用期内公务员或参公人员，但在报名之后、聘用之前成为试用期内公务员或参公人员的，取消其考试或聘用资格；</w:t>
      </w:r>
    </w:p>
    <w:p>
      <w:pPr>
        <w:spacing w:line="360" w:lineRule="auto"/>
        <w:ind w:firstLineChars="200" w:firstLine="640"/>
        <w:rPr>
          <w:rFonts w:ascii="仿宋" w:eastAsia="仿宋"/>
          <w:sz w:val="32"/>
          <w:szCs w:val="32"/>
        </w:rPr>
      </w:pPr>
      <w:r>
        <w:rPr>
          <w:rFonts w:ascii="仿宋" w:eastAsia="仿宋" w:hint="eastAsia"/>
          <w:sz w:val="32"/>
          <w:szCs w:val="32"/>
        </w:rPr>
        <w:t>（六）现役军人；</w:t>
      </w:r>
    </w:p>
    <w:p>
      <w:pPr>
        <w:spacing w:line="360" w:lineRule="auto"/>
        <w:ind w:firstLineChars="200" w:firstLine="640"/>
        <w:rPr>
          <w:rFonts w:ascii="仿宋" w:eastAsia="仿宋"/>
          <w:sz w:val="32"/>
          <w:szCs w:val="32"/>
        </w:rPr>
      </w:pPr>
      <w:r>
        <w:rPr>
          <w:rFonts w:ascii="仿宋" w:eastAsia="仿宋" w:hint="eastAsia"/>
          <w:sz w:val="32"/>
          <w:szCs w:val="32"/>
        </w:rPr>
        <w:t>（七）普通高等院校全日制在读的非应届毕业生（即2022年及以后才学业期满的全日制普通教育学生）；</w:t>
      </w:r>
    </w:p>
    <w:p>
      <w:pPr>
        <w:spacing w:line="360" w:lineRule="auto"/>
        <w:ind w:firstLineChars="200" w:firstLine="640"/>
        <w:rPr>
          <w:rFonts w:ascii="仿宋" w:eastAsia="仿宋"/>
          <w:sz w:val="32"/>
          <w:szCs w:val="32"/>
        </w:rPr>
      </w:pPr>
      <w:r>
        <w:rPr>
          <w:rFonts w:ascii="仿宋" w:eastAsia="仿宋" w:hint="eastAsia"/>
          <w:sz w:val="32"/>
          <w:szCs w:val="32"/>
        </w:rPr>
        <w:t xml:space="preserve">（八）涉嫌违法犯罪正在接受司法调查尚未做出结论的，或尚未解除党（政）纪处分的，或正在接受纪律审查的; </w:t>
      </w:r>
    </w:p>
    <w:p>
      <w:pPr>
        <w:spacing w:line="360" w:lineRule="auto"/>
        <w:ind w:firstLineChars="200" w:firstLine="640"/>
        <w:rPr>
          <w:rFonts w:ascii="仿宋" w:eastAsia="仿宋"/>
          <w:sz w:val="32"/>
          <w:szCs w:val="32"/>
        </w:rPr>
      </w:pPr>
      <w:r>
        <w:rPr>
          <w:rFonts w:ascii="仿宋" w:eastAsia="仿宋" w:hint="eastAsia"/>
          <w:sz w:val="32"/>
          <w:szCs w:val="32"/>
        </w:rPr>
        <w:t xml:space="preserve">（九）聘用后即构成应回避关系的； </w:t>
      </w:r>
    </w:p>
    <w:p>
      <w:pPr>
        <w:spacing w:line="360" w:lineRule="auto"/>
        <w:ind w:firstLineChars="200" w:firstLine="640"/>
        <w:rPr>
          <w:rFonts w:ascii="仿宋" w:eastAsia="仿宋"/>
          <w:sz w:val="32"/>
          <w:szCs w:val="32"/>
        </w:rPr>
      </w:pPr>
      <w:r>
        <w:rPr>
          <w:rFonts w:ascii="仿宋" w:eastAsia="仿宋" w:hint="eastAsia"/>
          <w:sz w:val="32"/>
          <w:szCs w:val="32"/>
        </w:rPr>
        <w:t xml:space="preserve">（十）法律法规规章规定不得聘为事业单位人员的。 </w:t>
      </w:r>
    </w:p>
    <w:p>
      <w:pPr>
        <w:spacing w:line="360" w:lineRule="auto"/>
        <w:rPr>
          <w:rFonts w:ascii="仿宋" w:eastAsia="仿宋"/>
          <w:b/>
          <w:bCs/>
          <w:sz w:val="32"/>
          <w:szCs w:val="32"/>
        </w:rPr>
      </w:pPr>
      <w:r>
        <w:rPr>
          <w:rFonts w:ascii="仿宋" w:eastAsia="仿宋" w:hint="eastAsia"/>
          <w:sz w:val="32"/>
          <w:szCs w:val="32"/>
        </w:rPr>
        <w:t xml:space="preserve">     </w:t>
      </w:r>
      <w:bookmarkStart w:id="8" w:name="_Toc46222483"/>
      <w:r>
        <w:rPr>
          <w:rFonts w:ascii="仿宋" w:eastAsia="仿宋" w:hint="eastAsia"/>
          <w:b/>
          <w:bCs/>
          <w:sz w:val="32"/>
          <w:szCs w:val="32"/>
        </w:rPr>
        <w:t>三、报考岗位须知</w:t>
      </w:r>
      <w:bookmarkEnd w:id="8"/>
    </w:p>
    <w:p>
      <w:pPr>
        <w:spacing w:line="360" w:lineRule="auto"/>
        <w:ind w:firstLineChars="200" w:firstLine="640"/>
        <w:rPr>
          <w:rFonts w:ascii="仿宋" w:eastAsia="仿宋"/>
          <w:b/>
          <w:bCs/>
          <w:sz w:val="32"/>
          <w:szCs w:val="32"/>
        </w:rPr>
      </w:pPr>
      <w:r>
        <w:rPr>
          <w:rFonts w:ascii="仿宋" w:eastAsia="仿宋" w:hint="eastAsia"/>
          <w:b/>
          <w:bCs/>
          <w:sz w:val="32"/>
          <w:szCs w:val="32"/>
        </w:rPr>
        <w:t>（一）报考资格条件确认</w:t>
      </w:r>
    </w:p>
    <w:p>
      <w:pPr>
        <w:spacing w:line="360" w:lineRule="auto"/>
        <w:ind w:firstLineChars="200" w:firstLine="640"/>
        <w:rPr>
          <w:rFonts w:ascii="仿宋" w:eastAsia="仿宋"/>
          <w:sz w:val="32"/>
          <w:szCs w:val="32"/>
        </w:rPr>
      </w:pPr>
      <w:r>
        <w:rPr>
          <w:rFonts w:ascii="仿宋" w:eastAsia="仿宋" w:hint="eastAsia"/>
          <w:sz w:val="32"/>
          <w:szCs w:val="32"/>
        </w:rPr>
        <w:t>报考者须在报名时，全面、逐项对照招考岗位要求等，确认符合招考岗位资格条件，并对本人的报名资格及所提供材料的真实性负责。</w:t>
      </w:r>
    </w:p>
    <w:p>
      <w:pPr>
        <w:spacing w:line="360" w:lineRule="auto"/>
        <w:ind w:firstLineChars="200" w:firstLine="640"/>
        <w:rPr>
          <w:rFonts w:ascii="仿宋" w:eastAsia="仿宋"/>
          <w:b/>
          <w:bCs/>
          <w:sz w:val="32"/>
          <w:szCs w:val="32"/>
        </w:rPr>
      </w:pPr>
      <w:r>
        <w:rPr>
          <w:rFonts w:ascii="仿宋" w:eastAsia="仿宋" w:hint="eastAsia"/>
          <w:b/>
          <w:bCs/>
          <w:sz w:val="32"/>
          <w:szCs w:val="32"/>
        </w:rPr>
        <w:t>（二）报名方式</w:t>
      </w:r>
    </w:p>
    <w:p>
      <w:pPr>
        <w:spacing w:line="360" w:lineRule="auto"/>
        <w:ind w:firstLineChars="200" w:firstLine="640"/>
        <w:rPr>
          <w:rFonts w:ascii="仿宋" w:eastAsia="仿宋"/>
          <w:sz w:val="32"/>
          <w:szCs w:val="32"/>
        </w:rPr>
      </w:pPr>
      <w:r>
        <w:rPr>
          <w:rFonts w:ascii="仿宋" w:eastAsia="仿宋" w:hint="eastAsia"/>
          <w:sz w:val="32"/>
          <w:szCs w:val="32"/>
        </w:rPr>
        <w:t>本次考试报名采取EMS邮件的方式进行，报名时间以EMS邮件寄出时间为准。</w:t>
      </w:r>
    </w:p>
    <w:p>
      <w:pPr>
        <w:spacing w:line="360" w:lineRule="auto"/>
        <w:ind w:firstLineChars="200" w:firstLine="640"/>
        <w:rPr>
          <w:rFonts w:ascii="仿宋" w:eastAsia="仿宋"/>
          <w:sz w:val="32"/>
          <w:szCs w:val="32"/>
        </w:rPr>
      </w:pPr>
      <w:r>
        <w:rPr>
          <w:rFonts w:ascii="仿宋" w:eastAsia="仿宋" w:hint="eastAsia"/>
          <w:sz w:val="32"/>
          <w:szCs w:val="32"/>
        </w:rPr>
        <w:t>收件地址：厦门市海沧区嵩屿中路799号；收件人：综合科钟小辉。收件人电话：0592-6894592（此电话仅用于邮寄快递使用）；邮政编码：361026。</w:t>
      </w:r>
    </w:p>
    <w:p>
      <w:pPr>
        <w:spacing w:line="360" w:lineRule="auto"/>
        <w:ind w:firstLineChars="200" w:firstLine="640"/>
        <w:rPr>
          <w:rFonts w:ascii="仿宋" w:eastAsia="仿宋"/>
          <w:b/>
          <w:bCs/>
          <w:sz w:val="32"/>
          <w:szCs w:val="32"/>
        </w:rPr>
      </w:pPr>
      <w:r>
        <w:rPr>
          <w:rFonts w:ascii="仿宋" w:eastAsia="仿宋" w:hint="eastAsia"/>
          <w:b/>
          <w:bCs/>
          <w:sz w:val="32"/>
          <w:szCs w:val="32"/>
        </w:rPr>
        <w:t>（三）报名材料</w:t>
      </w:r>
    </w:p>
    <w:p>
      <w:pPr>
        <w:spacing w:line="360" w:lineRule="auto"/>
        <w:ind w:firstLineChars="200" w:firstLine="640"/>
        <w:rPr>
          <w:rFonts w:ascii="仿宋" w:eastAsia="仿宋"/>
          <w:sz w:val="32"/>
          <w:szCs w:val="32"/>
        </w:rPr>
      </w:pPr>
      <w:r>
        <w:rPr>
          <w:rFonts w:ascii="仿宋" w:eastAsia="仿宋" w:hint="eastAsia"/>
          <w:sz w:val="32"/>
          <w:szCs w:val="32"/>
        </w:rPr>
        <w:t>报名时应提交已签名确认的报名表原件、近期正面免冠二寸彩色数码证件照3张，并提供以下材料彩色</w:t>
      </w:r>
      <w:r>
        <w:rPr>
          <w:rFonts w:ascii="仿宋" w:eastAsia="仿宋"/>
          <w:sz w:val="32"/>
          <w:szCs w:val="32"/>
        </w:rPr>
        <w:t>复印</w:t>
      </w:r>
      <w:r>
        <w:rPr>
          <w:rFonts w:ascii="仿宋" w:eastAsia="仿宋" w:hint="eastAsia"/>
          <w:sz w:val="32"/>
          <w:szCs w:val="32"/>
        </w:rPr>
        <w:t>件：</w:t>
      </w:r>
    </w:p>
    <w:p>
      <w:pPr>
        <w:spacing w:line="360" w:lineRule="auto"/>
        <w:ind w:firstLineChars="200" w:firstLine="640"/>
        <w:rPr>
          <w:rFonts w:ascii="仿宋" w:eastAsia="仿宋"/>
          <w:sz w:val="32"/>
          <w:szCs w:val="32"/>
        </w:rPr>
      </w:pPr>
      <w:r>
        <w:rPr>
          <w:rFonts w:ascii="仿宋" w:eastAsia="仿宋" w:hint="eastAsia"/>
          <w:sz w:val="32"/>
          <w:szCs w:val="32"/>
        </w:rPr>
        <w:t>1、身份证；</w:t>
      </w:r>
    </w:p>
    <w:p>
      <w:pPr>
        <w:spacing w:line="360" w:lineRule="auto"/>
        <w:ind w:firstLineChars="200" w:firstLine="640"/>
        <w:rPr>
          <w:rFonts w:ascii="仿宋" w:eastAsia="仿宋"/>
          <w:sz w:val="32"/>
          <w:szCs w:val="32"/>
        </w:rPr>
      </w:pPr>
      <w:r>
        <w:rPr>
          <w:rFonts w:ascii="仿宋" w:eastAsia="仿宋" w:hint="eastAsia"/>
          <w:sz w:val="32"/>
          <w:szCs w:val="32"/>
        </w:rPr>
        <w:t>2、岗位要求的学历（位）证书、合格证书；</w:t>
      </w:r>
    </w:p>
    <w:p>
      <w:pPr>
        <w:spacing w:line="360" w:lineRule="auto"/>
        <w:ind w:firstLineChars="200" w:firstLine="640"/>
        <w:rPr>
          <w:rFonts w:ascii="仿宋" w:eastAsia="仿宋"/>
          <w:sz w:val="32"/>
          <w:szCs w:val="32"/>
        </w:rPr>
      </w:pPr>
      <w:r>
        <w:rPr>
          <w:rFonts w:ascii="仿宋" w:eastAsia="仿宋" w:hint="eastAsia"/>
          <w:sz w:val="32"/>
          <w:szCs w:val="32"/>
        </w:rPr>
        <w:t>3、符合加分优惠政策的证明材料。</w:t>
      </w:r>
    </w:p>
    <w:p>
      <w:pPr>
        <w:spacing w:line="360" w:lineRule="auto"/>
        <w:ind w:firstLineChars="200" w:firstLine="640"/>
        <w:rPr>
          <w:rFonts w:ascii="仿宋" w:eastAsia="仿宋"/>
          <w:sz w:val="32"/>
          <w:szCs w:val="32"/>
        </w:rPr>
      </w:pPr>
      <w:r>
        <w:rPr>
          <w:rFonts w:ascii="仿宋" w:eastAsia="仿宋" w:hint="eastAsia"/>
          <w:sz w:val="32"/>
          <w:szCs w:val="32"/>
        </w:rPr>
        <w:t>应届毕业生需再提供：毕业生就业推荐表复印件、在校期间成绩单复印件。</w:t>
      </w:r>
    </w:p>
    <w:p>
      <w:pPr>
        <w:spacing w:line="360" w:lineRule="auto"/>
        <w:ind w:firstLineChars="200" w:firstLine="640"/>
        <w:rPr>
          <w:rFonts w:ascii="仿宋" w:eastAsia="仿宋"/>
          <w:sz w:val="32"/>
          <w:szCs w:val="32"/>
        </w:rPr>
      </w:pPr>
      <w:r>
        <w:rPr>
          <w:rFonts w:ascii="仿宋" w:eastAsia="仿宋"/>
          <w:sz w:val="32"/>
          <w:szCs w:val="32"/>
        </w:rPr>
        <w:t>提交材料不完整，</w:t>
      </w:r>
      <w:r>
        <w:rPr>
          <w:rFonts w:ascii="仿宋" w:eastAsia="仿宋" w:hint="eastAsia"/>
          <w:sz w:val="32"/>
          <w:szCs w:val="32"/>
        </w:rPr>
        <w:t>视为报名不成功。</w:t>
      </w:r>
    </w:p>
    <w:p>
      <w:pPr>
        <w:spacing w:line="360" w:lineRule="auto"/>
        <w:ind w:firstLineChars="200" w:firstLine="640"/>
        <w:rPr>
          <w:rFonts w:ascii="仿宋" w:eastAsia="仿宋"/>
          <w:b/>
          <w:bCs/>
          <w:sz w:val="32"/>
          <w:szCs w:val="32"/>
        </w:rPr>
      </w:pPr>
      <w:r>
        <w:rPr>
          <w:rFonts w:ascii="仿宋" w:eastAsia="仿宋" w:hint="eastAsia"/>
          <w:b/>
          <w:bCs/>
          <w:sz w:val="32"/>
          <w:szCs w:val="32"/>
        </w:rPr>
        <w:t>（四）照片要求</w:t>
      </w:r>
    </w:p>
    <w:p>
      <w:pPr>
        <w:spacing w:line="360" w:lineRule="auto"/>
        <w:ind w:firstLineChars="200" w:firstLine="640"/>
        <w:rPr>
          <w:rFonts w:ascii="仿宋" w:eastAsia="仿宋"/>
          <w:sz w:val="32"/>
          <w:szCs w:val="32"/>
        </w:rPr>
      </w:pPr>
      <w:r>
        <w:rPr>
          <w:rFonts w:ascii="仿宋" w:eastAsia="仿宋" w:hint="eastAsia"/>
          <w:sz w:val="32"/>
          <w:szCs w:val="32"/>
        </w:rPr>
        <w:t>请提交近期正面免冠二寸彩色数码证件照。</w:t>
      </w:r>
    </w:p>
    <w:p>
      <w:pPr>
        <w:spacing w:line="360" w:lineRule="auto"/>
        <w:ind w:firstLineChars="200" w:firstLine="640"/>
        <w:rPr>
          <w:rFonts w:ascii="仿宋" w:eastAsia="仿宋"/>
          <w:sz w:val="32"/>
          <w:szCs w:val="32"/>
        </w:rPr>
      </w:pPr>
      <w:r>
        <w:rPr>
          <w:rFonts w:ascii="仿宋" w:eastAsia="仿宋" w:hint="eastAsia"/>
          <w:sz w:val="32"/>
          <w:szCs w:val="32"/>
        </w:rPr>
        <w:t>以下为常见不合格照片：①着制式服装照（公安、工商、武警等）；②着帽子或太醒目、夸张首饰等；③模糊不清晰的；④眼镜反光的；⑤明显不是个人照片的（如风景照、名人照等）；⑥随意自拍的半身照，全身照等无法看清楚脸的； ⑦头发刘海遮挡面大的；⑧照片比例变形的； ⑨手持证件的照片；⑩其他难以清晰辨认的。</w:t>
      </w:r>
    </w:p>
    <w:p>
      <w:pPr>
        <w:spacing w:line="360" w:lineRule="auto"/>
        <w:ind w:firstLineChars="200" w:firstLine="640"/>
        <w:rPr>
          <w:rFonts w:ascii="仿宋" w:eastAsia="仿宋"/>
          <w:b/>
          <w:bCs/>
          <w:sz w:val="32"/>
          <w:szCs w:val="32"/>
        </w:rPr>
      </w:pPr>
      <w:r>
        <w:rPr>
          <w:rFonts w:ascii="仿宋" w:eastAsia="仿宋" w:hint="eastAsia"/>
          <w:b/>
          <w:bCs/>
          <w:sz w:val="32"/>
          <w:szCs w:val="32"/>
        </w:rPr>
        <w:t>（五）个人简历</w:t>
      </w:r>
    </w:p>
    <w:p>
      <w:pPr>
        <w:spacing w:line="360" w:lineRule="auto"/>
        <w:ind w:firstLineChars="200" w:firstLine="640"/>
        <w:rPr>
          <w:rFonts w:ascii="仿宋" w:eastAsia="仿宋"/>
          <w:sz w:val="32"/>
          <w:szCs w:val="32"/>
        </w:rPr>
      </w:pPr>
      <w:bookmarkStart w:id="9" w:name="_Toc5535"/>
      <w:bookmarkStart w:id="10" w:name="_Toc4830"/>
      <w:bookmarkStart w:id="11" w:name="_Toc29293"/>
      <w:bookmarkStart w:id="12" w:name="_Toc28349"/>
      <w:bookmarkStart w:id="13" w:name="_Toc11175"/>
      <w:r>
        <w:rPr>
          <w:rFonts w:ascii="仿宋" w:eastAsia="仿宋" w:hint="eastAsia"/>
          <w:sz w:val="32"/>
          <w:szCs w:val="32"/>
        </w:rPr>
        <w:t>应如实反映各阶段的就学、就业、待业等状态，期间不能中断，原则上应从高中起填写。</w:t>
      </w:r>
      <w:bookmarkEnd w:id="9"/>
      <w:bookmarkEnd w:id="10"/>
      <w:bookmarkEnd w:id="11"/>
      <w:bookmarkEnd w:id="12"/>
      <w:bookmarkEnd w:id="13"/>
    </w:p>
    <w:p>
      <w:pPr>
        <w:spacing w:line="360" w:lineRule="auto"/>
        <w:ind w:firstLineChars="200" w:firstLine="640"/>
        <w:rPr>
          <w:rFonts w:ascii="仿宋" w:eastAsia="仿宋"/>
          <w:sz w:val="32"/>
          <w:szCs w:val="32"/>
        </w:rPr>
      </w:pPr>
      <w:r>
        <w:rPr>
          <w:rFonts w:ascii="仿宋" w:eastAsia="仿宋" w:hint="eastAsia"/>
          <w:sz w:val="32"/>
          <w:szCs w:val="32"/>
        </w:rPr>
        <w:t>在机关事业单位工作的，须注明单位性质（机关、参公单位、非参公事业单位）和本人身份（公务员、参公事业编制人员、非参公事业编制人员、编外人员）。</w:t>
      </w:r>
    </w:p>
    <w:p>
      <w:pPr>
        <w:spacing w:line="360" w:lineRule="auto"/>
        <w:ind w:firstLineChars="200" w:firstLine="640"/>
        <w:rPr>
          <w:rFonts w:ascii="仿宋" w:eastAsia="仿宋"/>
          <w:sz w:val="32"/>
          <w:szCs w:val="32"/>
        </w:rPr>
      </w:pPr>
      <w:r>
        <w:rPr>
          <w:rFonts w:ascii="仿宋" w:eastAsia="仿宋" w:hint="eastAsia"/>
          <w:sz w:val="32"/>
          <w:szCs w:val="32"/>
        </w:rPr>
        <w:t>部队、武警相关单位工作人员须注明“现役人员”还是“非现役文职人员”，或者“合同制职员”等。</w:t>
      </w:r>
    </w:p>
    <w:p>
      <w:pPr>
        <w:spacing w:line="360" w:lineRule="auto"/>
        <w:ind w:firstLineChars="200" w:firstLine="640"/>
        <w:rPr>
          <w:rFonts w:ascii="仿宋" w:eastAsia="仿宋"/>
          <w:sz w:val="32"/>
          <w:szCs w:val="32"/>
        </w:rPr>
      </w:pPr>
      <w:r>
        <w:rPr>
          <w:rFonts w:ascii="仿宋" w:eastAsia="仿宋" w:hint="eastAsia"/>
          <w:sz w:val="32"/>
          <w:szCs w:val="32"/>
        </w:rPr>
        <w:t>在读人员须注明教育类别是“在职教育”还是“全日制普教”。</w:t>
      </w:r>
    </w:p>
    <w:p>
      <w:pPr>
        <w:spacing w:line="360" w:lineRule="auto"/>
        <w:ind w:firstLineChars="200" w:firstLine="640"/>
        <w:rPr>
          <w:rFonts w:ascii="仿宋" w:eastAsia="仿宋"/>
          <w:b/>
          <w:bCs/>
          <w:sz w:val="32"/>
          <w:szCs w:val="32"/>
        </w:rPr>
      </w:pPr>
      <w:r>
        <w:rPr>
          <w:rFonts w:ascii="仿宋" w:eastAsia="仿宋" w:hint="eastAsia"/>
          <w:b/>
          <w:bCs/>
          <w:sz w:val="32"/>
          <w:szCs w:val="32"/>
        </w:rPr>
        <w:t>（六）回避情形</w:t>
      </w:r>
    </w:p>
    <w:p>
      <w:pPr>
        <w:spacing w:line="360" w:lineRule="auto"/>
        <w:ind w:firstLineChars="200" w:firstLine="640"/>
        <w:rPr>
          <w:rFonts w:ascii="仿宋" w:eastAsia="仿宋"/>
          <w:sz w:val="32"/>
          <w:szCs w:val="32"/>
        </w:rPr>
      </w:pPr>
      <w:r>
        <w:rPr>
          <w:rFonts w:ascii="仿宋" w:eastAsia="仿宋" w:hint="eastAsia"/>
          <w:sz w:val="32"/>
          <w:szCs w:val="32"/>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360" w:lineRule="auto"/>
        <w:ind w:firstLineChars="200" w:firstLine="640"/>
        <w:rPr>
          <w:rFonts w:ascii="仿宋" w:eastAsia="仿宋"/>
          <w:sz w:val="32"/>
          <w:szCs w:val="32"/>
        </w:rPr>
      </w:pPr>
      <w:r>
        <w:rPr>
          <w:rFonts w:ascii="仿宋" w:eastAsia="仿宋" w:hint="eastAsia"/>
          <w:sz w:val="32"/>
          <w:szCs w:val="32"/>
        </w:rPr>
        <w:t>1.夫妻关系;</w:t>
      </w:r>
    </w:p>
    <w:p>
      <w:pPr>
        <w:spacing w:line="360" w:lineRule="auto"/>
        <w:ind w:firstLineChars="200" w:firstLine="640"/>
        <w:rPr>
          <w:rFonts w:ascii="仿宋" w:eastAsia="仿宋"/>
          <w:sz w:val="32"/>
          <w:szCs w:val="32"/>
        </w:rPr>
      </w:pPr>
      <w:r>
        <w:rPr>
          <w:rFonts w:ascii="仿宋" w:eastAsia="仿宋" w:hint="eastAsia"/>
          <w:sz w:val="32"/>
          <w:szCs w:val="32"/>
        </w:rPr>
        <w:t>2.直系血亲关系，包括祖父母、外祖父母、父母、子女、孙子女、外孙子女;</w:t>
      </w:r>
    </w:p>
    <w:p>
      <w:pPr>
        <w:spacing w:line="360" w:lineRule="auto"/>
        <w:ind w:firstLineChars="200" w:firstLine="640"/>
        <w:rPr>
          <w:rFonts w:ascii="仿宋" w:eastAsia="仿宋"/>
          <w:sz w:val="32"/>
          <w:szCs w:val="32"/>
        </w:rPr>
      </w:pPr>
      <w:r>
        <w:rPr>
          <w:rFonts w:ascii="仿宋" w:eastAsia="仿宋" w:hint="eastAsia"/>
          <w:sz w:val="32"/>
          <w:szCs w:val="32"/>
        </w:rPr>
        <w:t>3.三代以内旁系血亲关系，包括叔伯姑舅姨、兄弟姐妹、堂兄弟姐妹、表兄弟姐妹、侄子女、甥子女;</w:t>
      </w:r>
    </w:p>
    <w:p>
      <w:pPr>
        <w:spacing w:line="360" w:lineRule="auto"/>
        <w:ind w:firstLineChars="200" w:firstLine="640"/>
        <w:rPr>
          <w:rFonts w:ascii="仿宋" w:eastAsia="仿宋"/>
          <w:sz w:val="32"/>
          <w:szCs w:val="32"/>
        </w:rPr>
      </w:pPr>
      <w:r>
        <w:rPr>
          <w:rFonts w:ascii="仿宋" w:eastAsia="仿宋" w:hint="eastAsia"/>
          <w:sz w:val="32"/>
          <w:szCs w:val="32"/>
        </w:rPr>
        <w:t>4.近姻亲关系，包括配偶的父母、配偶的兄弟姐妹及其配偶、子女的配偶及子女配偶的父母、三代以内旁系血亲的配偶;</w:t>
      </w:r>
    </w:p>
    <w:p>
      <w:pPr>
        <w:spacing w:line="360" w:lineRule="auto"/>
        <w:ind w:firstLineChars="200" w:firstLine="640"/>
        <w:rPr>
          <w:rFonts w:ascii="仿宋" w:eastAsia="仿宋"/>
          <w:sz w:val="32"/>
          <w:szCs w:val="32"/>
        </w:rPr>
      </w:pPr>
      <w:r>
        <w:rPr>
          <w:rFonts w:ascii="仿宋" w:eastAsia="仿宋" w:hint="eastAsia"/>
          <w:sz w:val="32"/>
          <w:szCs w:val="32"/>
        </w:rPr>
        <w:t>5.其他亲属关系，包括养父母子女、形成抚养关系的继父母子女及由此形成的直系血亲、三代以内旁系血亲和近姻亲关系。</w:t>
      </w:r>
    </w:p>
    <w:p>
      <w:pPr>
        <w:spacing w:line="360" w:lineRule="auto"/>
        <w:ind w:firstLineChars="200" w:firstLine="640"/>
        <w:rPr>
          <w:rFonts w:ascii="仿宋" w:eastAsia="仿宋"/>
          <w:sz w:val="32"/>
          <w:szCs w:val="32"/>
        </w:rPr>
      </w:pPr>
      <w:r>
        <w:rPr>
          <w:rFonts w:ascii="仿宋" w:eastAsia="仿宋" w:hint="eastAsia"/>
          <w:sz w:val="32"/>
          <w:szCs w:val="32"/>
        </w:rPr>
        <w:t>所称直接上下级领导关系包括：</w:t>
      </w:r>
    </w:p>
    <w:p>
      <w:pPr>
        <w:spacing w:line="360" w:lineRule="auto"/>
        <w:ind w:firstLineChars="200" w:firstLine="640"/>
        <w:rPr>
          <w:rFonts w:ascii="仿宋" w:eastAsia="仿宋"/>
          <w:sz w:val="32"/>
          <w:szCs w:val="32"/>
        </w:rPr>
      </w:pPr>
      <w:r>
        <w:rPr>
          <w:rFonts w:ascii="仿宋" w:eastAsia="仿宋" w:hint="eastAsia"/>
          <w:sz w:val="32"/>
          <w:szCs w:val="32"/>
        </w:rPr>
        <w:t>1.领导班子正职与副职;</w:t>
      </w:r>
    </w:p>
    <w:p>
      <w:pPr>
        <w:spacing w:line="360" w:lineRule="auto"/>
        <w:ind w:firstLineChars="200" w:firstLine="640"/>
        <w:rPr>
          <w:rFonts w:ascii="仿宋" w:eastAsia="仿宋"/>
          <w:sz w:val="32"/>
          <w:szCs w:val="32"/>
        </w:rPr>
      </w:pPr>
      <w:r>
        <w:rPr>
          <w:rFonts w:ascii="仿宋" w:eastAsia="仿宋" w:hint="eastAsia"/>
          <w:sz w:val="32"/>
          <w:szCs w:val="32"/>
        </w:rPr>
        <w:t>2.同一内设机构正职与副职;</w:t>
      </w:r>
    </w:p>
    <w:p>
      <w:pPr>
        <w:spacing w:line="360" w:lineRule="auto"/>
        <w:ind w:firstLineChars="200" w:firstLine="640"/>
        <w:rPr>
          <w:rFonts w:ascii="仿宋" w:eastAsia="仿宋"/>
          <w:sz w:val="32"/>
          <w:szCs w:val="32"/>
        </w:rPr>
      </w:pPr>
      <w:r>
        <w:rPr>
          <w:rFonts w:ascii="仿宋" w:eastAsia="仿宋" w:hint="eastAsia"/>
          <w:sz w:val="32"/>
          <w:szCs w:val="32"/>
        </w:rPr>
        <w:t>3.上级正职、副职与下级正职;</w:t>
      </w:r>
    </w:p>
    <w:p>
      <w:pPr>
        <w:spacing w:line="360" w:lineRule="auto"/>
        <w:ind w:firstLineChars="200" w:firstLine="640"/>
        <w:rPr>
          <w:rFonts w:ascii="仿宋" w:eastAsia="仿宋"/>
          <w:sz w:val="32"/>
          <w:szCs w:val="32"/>
        </w:rPr>
      </w:pPr>
      <w:r>
        <w:rPr>
          <w:rFonts w:ascii="仿宋" w:eastAsia="仿宋" w:hint="eastAsia"/>
          <w:sz w:val="32"/>
          <w:szCs w:val="32"/>
        </w:rPr>
        <w:t>4.单位无内设机构的，其正职、副职与其他管理人员以及从事审计、财务工作的专业技术人员;</w:t>
      </w:r>
    </w:p>
    <w:p>
      <w:pPr>
        <w:spacing w:line="360" w:lineRule="auto"/>
        <w:ind w:firstLineChars="200" w:firstLine="640"/>
        <w:rPr>
          <w:rFonts w:ascii="仿宋" w:eastAsia="仿宋"/>
          <w:sz w:val="32"/>
          <w:szCs w:val="32"/>
        </w:rPr>
      </w:pPr>
      <w:r>
        <w:rPr>
          <w:rFonts w:ascii="仿宋" w:eastAsia="仿宋" w:hint="eastAsia"/>
          <w:sz w:val="32"/>
          <w:szCs w:val="32"/>
        </w:rPr>
        <w:t>5.内设机构无下一级单位的，其正职、副职与其他管理人员以及从事审计、财务工作的专业技术人员。</w:t>
      </w:r>
    </w:p>
    <w:p>
      <w:pPr>
        <w:spacing w:line="360" w:lineRule="auto"/>
        <w:ind w:firstLineChars="200" w:firstLine="640"/>
        <w:rPr>
          <w:rFonts w:ascii="仿宋" w:eastAsia="仿宋"/>
          <w:sz w:val="32"/>
          <w:szCs w:val="32"/>
        </w:rPr>
      </w:pPr>
      <w:r>
        <w:rPr>
          <w:rFonts w:ascii="仿宋" w:eastAsia="仿宋" w:hint="eastAsia"/>
          <w:sz w:val="32"/>
          <w:szCs w:val="32"/>
        </w:rPr>
        <w:t>从事招聘工作的人员存在应当回避情形的，须实行履职回避。</w:t>
      </w:r>
    </w:p>
    <w:p>
      <w:pPr>
        <w:spacing w:line="360" w:lineRule="auto"/>
        <w:rPr>
          <w:rFonts w:ascii="仿宋" w:eastAsia="仿宋"/>
          <w:b/>
          <w:bCs/>
          <w:sz w:val="32"/>
          <w:szCs w:val="32"/>
        </w:rPr>
      </w:pPr>
      <w:r>
        <w:rPr>
          <w:rFonts w:ascii="仿宋" w:eastAsia="仿宋" w:hint="eastAsia"/>
          <w:sz w:val="32"/>
          <w:szCs w:val="32"/>
        </w:rPr>
        <w:t xml:space="preserve">    </w:t>
      </w:r>
      <w:bookmarkStart w:id="14" w:name="_Toc46222484"/>
      <w:r>
        <w:rPr>
          <w:rFonts w:ascii="仿宋" w:eastAsia="仿宋" w:hint="eastAsia"/>
          <w:b/>
          <w:bCs/>
          <w:sz w:val="32"/>
          <w:szCs w:val="32"/>
        </w:rPr>
        <w:t>四、年龄、资格（历）等的计算办法</w:t>
      </w:r>
      <w:bookmarkEnd w:id="14"/>
    </w:p>
    <w:p>
      <w:pPr>
        <w:spacing w:line="360" w:lineRule="auto"/>
        <w:ind w:firstLineChars="200" w:firstLine="640"/>
        <w:rPr>
          <w:rFonts w:ascii="仿宋" w:eastAsia="仿宋"/>
          <w:sz w:val="32"/>
          <w:szCs w:val="32"/>
        </w:rPr>
      </w:pPr>
      <w:r>
        <w:rPr>
          <w:rFonts w:ascii="仿宋" w:eastAsia="仿宋" w:hint="eastAsia"/>
          <w:sz w:val="32"/>
          <w:szCs w:val="32"/>
        </w:rPr>
        <w:t>如无特别说明，相关年限的计算、证书取得时间等，均指计算截至报名截止当月。</w:t>
      </w:r>
    </w:p>
    <w:p>
      <w:pPr>
        <w:spacing w:line="360" w:lineRule="auto"/>
        <w:ind w:firstLineChars="200" w:firstLine="640"/>
        <w:rPr>
          <w:rFonts w:ascii="仿宋" w:eastAsia="仿宋"/>
          <w:b/>
          <w:bCs/>
          <w:sz w:val="32"/>
          <w:szCs w:val="32"/>
        </w:rPr>
      </w:pPr>
      <w:r>
        <w:rPr>
          <w:rFonts w:ascii="仿宋" w:eastAsia="仿宋"/>
          <w:b/>
          <w:bCs/>
          <w:sz w:val="32"/>
          <w:szCs w:val="32"/>
        </w:rPr>
        <w:t>（一）</w:t>
      </w:r>
      <w:r>
        <w:rPr>
          <w:rFonts w:ascii="仿宋" w:eastAsia="仿宋" w:hint="eastAsia"/>
          <w:b/>
          <w:bCs/>
          <w:sz w:val="32"/>
          <w:szCs w:val="32"/>
        </w:rPr>
        <w:t>年龄</w:t>
      </w:r>
    </w:p>
    <w:p>
      <w:pPr>
        <w:spacing w:line="360" w:lineRule="auto"/>
        <w:ind w:firstLineChars="200" w:firstLine="640"/>
        <w:rPr>
          <w:rFonts w:ascii="仿宋" w:eastAsia="仿宋"/>
          <w:sz w:val="32"/>
          <w:szCs w:val="32"/>
        </w:rPr>
      </w:pPr>
      <w:r>
        <w:rPr>
          <w:rFonts w:ascii="仿宋" w:eastAsia="仿宋" w:hint="eastAsia"/>
          <w:sz w:val="32"/>
          <w:szCs w:val="32"/>
        </w:rPr>
        <w:t>最高年龄要求30岁是指18周岁以上、30周岁以下（在1990年3月至2003年3月期间出生），其他年龄条件以此类推。</w:t>
      </w:r>
    </w:p>
    <w:p>
      <w:pPr>
        <w:spacing w:line="360" w:lineRule="auto"/>
        <w:ind w:firstLineChars="200" w:firstLine="640"/>
        <w:rPr>
          <w:rFonts w:ascii="仿宋" w:eastAsia="仿宋"/>
          <w:b/>
          <w:bCs/>
          <w:sz w:val="32"/>
          <w:szCs w:val="32"/>
        </w:rPr>
      </w:pPr>
      <w:r>
        <w:rPr>
          <w:rFonts w:ascii="仿宋" w:eastAsia="仿宋"/>
          <w:b/>
          <w:bCs/>
          <w:sz w:val="32"/>
          <w:szCs w:val="32"/>
        </w:rPr>
        <w:t>（二）</w:t>
      </w:r>
      <w:r>
        <w:rPr>
          <w:rFonts w:ascii="仿宋" w:eastAsia="仿宋" w:hint="eastAsia"/>
          <w:b/>
          <w:bCs/>
          <w:sz w:val="32"/>
          <w:szCs w:val="32"/>
        </w:rPr>
        <w:t>资格（历）等</w:t>
      </w:r>
    </w:p>
    <w:p>
      <w:pPr>
        <w:spacing w:line="360" w:lineRule="auto"/>
        <w:ind w:firstLineChars="200" w:firstLine="640"/>
        <w:rPr>
          <w:rFonts w:ascii="仿宋" w:eastAsia="仿宋"/>
          <w:sz w:val="32"/>
          <w:szCs w:val="32"/>
        </w:rPr>
      </w:pPr>
      <w:r>
        <w:rPr>
          <w:rFonts w:ascii="仿宋" w:eastAsia="仿宋" w:hint="eastAsia"/>
          <w:sz w:val="32"/>
          <w:szCs w:val="32"/>
        </w:rPr>
        <w:t>岗位资格条件、《简章》和《报考指南》要求具有××条件以上的，如无特别说明，均含本数。如：持有工程师及以上职称证书，指截至报名截止日持有工程师或工程师以上职称证书。</w:t>
      </w:r>
    </w:p>
    <w:p>
      <w:pPr>
        <w:spacing w:line="360" w:lineRule="auto"/>
        <w:rPr>
          <w:rFonts w:ascii="仿宋" w:eastAsia="仿宋"/>
          <w:b/>
          <w:bCs/>
          <w:sz w:val="32"/>
          <w:szCs w:val="32"/>
        </w:rPr>
      </w:pPr>
      <w:r>
        <w:rPr>
          <w:rFonts w:ascii="仿宋" w:eastAsia="仿宋" w:hint="eastAsia"/>
          <w:sz w:val="32"/>
          <w:szCs w:val="32"/>
        </w:rPr>
        <w:t xml:space="preserve">    </w:t>
      </w:r>
      <w:bookmarkStart w:id="15" w:name="_Toc46222485"/>
      <w:r>
        <w:rPr>
          <w:rFonts w:ascii="仿宋" w:eastAsia="仿宋" w:hint="eastAsia"/>
          <w:b/>
          <w:bCs/>
          <w:sz w:val="32"/>
          <w:szCs w:val="32"/>
        </w:rPr>
        <w:t>五、学历（位）认定</w:t>
      </w:r>
      <w:bookmarkEnd w:id="15"/>
    </w:p>
    <w:p>
      <w:pPr>
        <w:spacing w:line="360" w:lineRule="auto"/>
        <w:ind w:firstLineChars="200" w:firstLine="640"/>
        <w:rPr>
          <w:rFonts w:ascii="仿宋" w:eastAsia="仿宋"/>
          <w:sz w:val="32"/>
          <w:szCs w:val="32"/>
        </w:rPr>
      </w:pPr>
      <w:r>
        <w:rPr>
          <w:rFonts w:ascii="仿宋" w:eastAsia="仿宋" w:hint="eastAsia"/>
          <w:sz w:val="32"/>
          <w:szCs w:val="32"/>
        </w:rPr>
        <w:t>岗位资格条件要求的学历(位)须是国家承认的国民教育毕业学历(位)。</w:t>
      </w:r>
    </w:p>
    <w:p>
      <w:pPr>
        <w:spacing w:line="360" w:lineRule="auto"/>
        <w:ind w:firstLineChars="200" w:firstLine="640"/>
        <w:rPr>
          <w:rFonts w:ascii="仿宋" w:eastAsia="仿宋"/>
          <w:b/>
          <w:bCs/>
          <w:sz w:val="32"/>
          <w:szCs w:val="32"/>
        </w:rPr>
      </w:pPr>
      <w:r>
        <w:rPr>
          <w:rFonts w:ascii="仿宋" w:eastAsia="仿宋" w:hint="eastAsia"/>
          <w:b/>
          <w:bCs/>
          <w:sz w:val="32"/>
          <w:szCs w:val="32"/>
        </w:rPr>
        <w:t>（一）境内学历（位）</w:t>
      </w:r>
    </w:p>
    <w:p>
      <w:pPr>
        <w:spacing w:line="360" w:lineRule="auto"/>
        <w:ind w:firstLineChars="200" w:firstLine="640"/>
        <w:rPr>
          <w:rFonts w:ascii="仿宋" w:eastAsia="仿宋"/>
          <w:sz w:val="32"/>
          <w:szCs w:val="32"/>
        </w:rPr>
      </w:pPr>
      <w:r>
        <w:rPr>
          <w:rFonts w:ascii="仿宋" w:eastAsia="仿宋" w:hint="eastAsia"/>
          <w:sz w:val="32"/>
          <w:szCs w:val="32"/>
        </w:rPr>
        <w:t>用于报考的学历（含自学考试、成人教育、网络教育、夜大、电大等）应在中国高等教育学生信息网（简称“学信网”，http://www.chsi.com.cn/）上可查询认证；用于报考的学位，应在中国学位与研究生教育信息网（简称“学位网”，http://www.cdgdc.edu.cn/）上可查询认证。</w:t>
      </w:r>
    </w:p>
    <w:p>
      <w:pPr>
        <w:spacing w:line="360" w:lineRule="auto"/>
        <w:ind w:firstLineChars="200" w:firstLine="640"/>
        <w:rPr>
          <w:rFonts w:ascii="仿宋" w:eastAsia="仿宋"/>
          <w:b/>
          <w:bCs/>
          <w:sz w:val="32"/>
          <w:szCs w:val="32"/>
        </w:rPr>
      </w:pPr>
      <w:r>
        <w:rPr>
          <w:rFonts w:ascii="仿宋" w:eastAsia="仿宋" w:hint="eastAsia"/>
          <w:b/>
          <w:bCs/>
          <w:sz w:val="32"/>
          <w:szCs w:val="32"/>
        </w:rPr>
        <w:t>（二）境外学历（位）</w:t>
      </w:r>
    </w:p>
    <w:p>
      <w:pPr>
        <w:spacing w:line="360" w:lineRule="auto"/>
        <w:ind w:firstLineChars="200" w:firstLine="640"/>
        <w:rPr>
          <w:rFonts w:ascii="仿宋" w:eastAsia="仿宋"/>
          <w:sz w:val="32"/>
          <w:szCs w:val="32"/>
        </w:rPr>
      </w:pPr>
      <w:r>
        <w:rPr>
          <w:rFonts w:ascii="仿宋" w:eastAsia="仿宋" w:hint="eastAsia"/>
          <w:sz w:val="32"/>
          <w:szCs w:val="32"/>
        </w:rPr>
        <w:t>持境外学历（位）报考的，应提供教育部留学服务中心出具的《国外学历学位认证书》或《香港、澳门特别行政区学历学位认证书》等有关证明材料。</w:t>
      </w:r>
    </w:p>
    <w:p>
      <w:pPr>
        <w:spacing w:line="360" w:lineRule="auto"/>
        <w:ind w:firstLineChars="200" w:firstLine="640"/>
        <w:rPr>
          <w:rFonts w:ascii="仿宋" w:eastAsia="仿宋"/>
          <w:sz w:val="32"/>
          <w:szCs w:val="32"/>
        </w:rPr>
      </w:pPr>
      <w:r>
        <w:rPr>
          <w:rFonts w:ascii="仿宋" w:eastAsia="仿宋" w:hint="eastAsia"/>
          <w:sz w:val="32"/>
          <w:szCs w:val="32"/>
        </w:rPr>
        <w:t>属于国内院校与境外院校联合办学取得境外学历学位的，需提供教育部留学服务中心出具的《联合办学学历学位评估意见书》或《联合办学学历学位认证书》。</w:t>
      </w:r>
    </w:p>
    <w:p>
      <w:pPr>
        <w:spacing w:line="360" w:lineRule="auto"/>
        <w:ind w:firstLineChars="200" w:firstLine="640"/>
        <w:rPr>
          <w:rFonts w:ascii="仿宋" w:eastAsia="仿宋"/>
          <w:sz w:val="32"/>
          <w:szCs w:val="32"/>
        </w:rPr>
      </w:pPr>
      <w:r>
        <w:rPr>
          <w:rFonts w:ascii="仿宋" w:eastAsia="仿宋" w:hint="eastAsia"/>
          <w:sz w:val="32"/>
          <w:szCs w:val="32"/>
        </w:rPr>
        <w:t>持境外学历（位）者，也可报考要求全日制普教学历（位）的岗位，但岗位资格复核时需提交或书面承诺于2021年12月31日前取得并能提供符合岗位报考条件的相应学历(位)证书及其认证书，否则视为自动放弃考试（聘用）资格。</w:t>
      </w:r>
    </w:p>
    <w:p>
      <w:pPr>
        <w:spacing w:line="360" w:lineRule="auto"/>
        <w:ind w:firstLineChars="200" w:firstLine="640"/>
        <w:rPr>
          <w:rFonts w:ascii="仿宋" w:eastAsia="仿宋"/>
          <w:b/>
          <w:bCs/>
          <w:sz w:val="32"/>
          <w:szCs w:val="32"/>
        </w:rPr>
      </w:pPr>
      <w:r>
        <w:rPr>
          <w:rFonts w:ascii="仿宋" w:eastAsia="仿宋" w:hint="eastAsia"/>
          <w:b/>
          <w:bCs/>
          <w:sz w:val="32"/>
          <w:szCs w:val="32"/>
        </w:rPr>
        <w:t>（三）我省“双学位”“双专业”学历</w:t>
      </w:r>
    </w:p>
    <w:p>
      <w:pPr>
        <w:spacing w:line="360" w:lineRule="auto"/>
        <w:ind w:firstLineChars="200" w:firstLine="640"/>
        <w:rPr>
          <w:rFonts w:ascii="仿宋" w:eastAsia="仿宋"/>
          <w:sz w:val="32"/>
          <w:szCs w:val="32"/>
        </w:rPr>
      </w:pPr>
      <w:r>
        <w:rPr>
          <w:rFonts w:ascii="仿宋" w:eastAsia="仿宋" w:hint="eastAsia"/>
          <w:sz w:val="32"/>
          <w:szCs w:val="32"/>
        </w:rPr>
        <w:t>根据《关于在全省高校毕业生中试行“双学位”“双专业”教育的意见》（闽教高〔2009〕9号），经修读达到毕业条件并获得“双学位”“双专业”证书的报考者，在本省范围内承认其学历、学位。</w:t>
      </w:r>
    </w:p>
    <w:p>
      <w:pPr>
        <w:spacing w:line="360" w:lineRule="auto"/>
        <w:ind w:firstLineChars="200" w:firstLine="640"/>
        <w:rPr>
          <w:rFonts w:ascii="仿宋" w:eastAsia="仿宋"/>
          <w:b/>
          <w:bCs/>
          <w:sz w:val="32"/>
          <w:szCs w:val="32"/>
        </w:rPr>
      </w:pPr>
      <w:r>
        <w:rPr>
          <w:rFonts w:ascii="仿宋" w:eastAsia="仿宋" w:hint="eastAsia"/>
          <w:b/>
          <w:bCs/>
          <w:sz w:val="32"/>
          <w:szCs w:val="32"/>
        </w:rPr>
        <w:t>（四）提醒事项</w:t>
      </w:r>
    </w:p>
    <w:p>
      <w:pPr>
        <w:spacing w:line="360" w:lineRule="auto"/>
        <w:ind w:firstLineChars="200" w:firstLine="640"/>
        <w:rPr>
          <w:rFonts w:ascii="仿宋" w:eastAsia="仿宋"/>
          <w:sz w:val="32"/>
          <w:szCs w:val="32"/>
        </w:rPr>
      </w:pPr>
      <w:r>
        <w:rPr>
          <w:rFonts w:ascii="仿宋" w:eastAsia="仿宋" w:hint="eastAsia"/>
          <w:sz w:val="32"/>
          <w:szCs w:val="32"/>
        </w:rPr>
        <w:t>面试资格复核时，招聘单位将对学历（位）进行核查，请考生按照上述要求，提前做好相应认证报告或网上查验准备。</w:t>
      </w:r>
    </w:p>
    <w:p>
      <w:pPr>
        <w:spacing w:line="360" w:lineRule="auto"/>
        <w:ind w:firstLineChars="200" w:firstLine="640"/>
        <w:rPr>
          <w:rFonts w:ascii="仿宋" w:eastAsia="仿宋"/>
          <w:sz w:val="32"/>
          <w:szCs w:val="32"/>
        </w:rPr>
      </w:pPr>
      <w:r>
        <w:rPr>
          <w:rFonts w:ascii="仿宋" w:eastAsia="仿宋" w:hint="eastAsia"/>
          <w:sz w:val="32"/>
          <w:szCs w:val="32"/>
        </w:rPr>
        <w:t>全日制普通教育2021届毕业生尚未取得相应学历（位）的，可持学校出具的《就业推荐表》报名，但须向招聘单位书面承诺于2021年12月31日前取得并能提供符合岗位报考条件的相应学历(位)证书，否则视为自动放弃考试（聘用）资格。</w:t>
      </w:r>
    </w:p>
    <w:p>
      <w:pPr>
        <w:spacing w:line="360" w:lineRule="auto"/>
        <w:rPr>
          <w:rFonts w:ascii="仿宋" w:eastAsia="仿宋"/>
          <w:b/>
          <w:bCs/>
          <w:sz w:val="32"/>
          <w:szCs w:val="32"/>
        </w:rPr>
      </w:pPr>
      <w:r>
        <w:rPr>
          <w:rFonts w:ascii="仿宋" w:eastAsia="仿宋" w:hint="eastAsia"/>
          <w:sz w:val="32"/>
          <w:szCs w:val="32"/>
        </w:rPr>
        <w:t xml:space="preserve">    </w:t>
      </w:r>
      <w:bookmarkStart w:id="16" w:name="_Toc46222486"/>
      <w:r>
        <w:rPr>
          <w:rFonts w:ascii="仿宋" w:eastAsia="仿宋" w:hint="eastAsia"/>
          <w:b/>
          <w:bCs/>
          <w:sz w:val="32"/>
          <w:szCs w:val="32"/>
        </w:rPr>
        <w:t>六、专业认定</w:t>
      </w:r>
      <w:bookmarkEnd w:id="16"/>
    </w:p>
    <w:p>
      <w:pPr>
        <w:spacing w:line="360" w:lineRule="auto"/>
        <w:ind w:firstLineChars="200" w:firstLine="640"/>
        <w:rPr>
          <w:rFonts w:ascii="仿宋" w:eastAsia="仿宋"/>
          <w:sz w:val="32"/>
          <w:szCs w:val="32"/>
        </w:rPr>
      </w:pPr>
      <w:bookmarkStart w:id="17" w:name="_Toc25382"/>
      <w:r>
        <w:rPr>
          <w:rFonts w:ascii="仿宋" w:eastAsia="仿宋" w:hint="eastAsia"/>
          <w:sz w:val="32"/>
          <w:szCs w:val="32"/>
        </w:rPr>
        <w:t>本次招考以《福建省机关事业单位招考专业指导目录（2021年）》（文中简称《专业指导目录》）作为岗位专业条件设置和审核的依据。其他来源的专业指导目录不作为本次报考和审核的依据。</w:t>
      </w:r>
    </w:p>
    <w:p>
      <w:pPr>
        <w:spacing w:line="360" w:lineRule="auto"/>
        <w:ind w:firstLineChars="200" w:firstLine="640"/>
        <w:rPr>
          <w:rFonts w:ascii="仿宋" w:eastAsia="仿宋"/>
          <w:b/>
          <w:bCs/>
          <w:sz w:val="32"/>
          <w:szCs w:val="32"/>
        </w:rPr>
      </w:pPr>
      <w:bookmarkStart w:id="18" w:name="_Toc28316"/>
      <w:r>
        <w:rPr>
          <w:rFonts w:ascii="仿宋" w:eastAsia="仿宋" w:hint="eastAsia"/>
          <w:b/>
          <w:bCs/>
          <w:sz w:val="32"/>
          <w:szCs w:val="32"/>
        </w:rPr>
        <w:t>（一）填报专业名称</w:t>
      </w:r>
      <w:bookmarkEnd w:id="18"/>
    </w:p>
    <w:p>
      <w:pPr>
        <w:spacing w:line="360" w:lineRule="auto"/>
        <w:ind w:firstLineChars="200" w:firstLine="640"/>
        <w:rPr>
          <w:rFonts w:ascii="仿宋" w:eastAsia="仿宋"/>
          <w:sz w:val="32"/>
          <w:szCs w:val="32"/>
        </w:rPr>
      </w:pPr>
      <w:r>
        <w:rPr>
          <w:rFonts w:ascii="仿宋" w:eastAsia="仿宋" w:hint="eastAsia"/>
          <w:sz w:val="32"/>
          <w:szCs w:val="32"/>
        </w:rPr>
        <w:t>报考者应严格按照所持证书（认证报告）上内容只字不差、如实填写所学专业。其中，全日制普通教育学历所学专业以毕业证书为准，非全日制普通教育和境外学历（位）以教育部学历（位）认证部门出具的认证报告为准。</w:t>
      </w:r>
    </w:p>
    <w:p>
      <w:pPr>
        <w:spacing w:line="360" w:lineRule="auto"/>
        <w:ind w:firstLineChars="200" w:firstLine="640"/>
        <w:rPr>
          <w:rFonts w:ascii="仿宋" w:eastAsia="仿宋"/>
          <w:sz w:val="32"/>
          <w:szCs w:val="32"/>
        </w:rPr>
      </w:pPr>
      <w:r>
        <w:rPr>
          <w:rFonts w:ascii="仿宋" w:eastAsia="仿宋" w:hint="eastAsia"/>
          <w:sz w:val="32"/>
          <w:szCs w:val="32"/>
        </w:rPr>
        <w:t>若所学专业在招生和培养时有专业方向、但未在毕业证书上体现的，应先按照毕业证书上注明的专业填写，并在网络报名系统的考生信息表备注栏中说明，再按照招聘单位及其主管部门要求提供学校教务部门出具的证明材料。</w:t>
      </w:r>
    </w:p>
    <w:p>
      <w:pPr>
        <w:spacing w:line="360" w:lineRule="auto"/>
        <w:ind w:firstLineChars="200" w:firstLine="640"/>
        <w:rPr>
          <w:rFonts w:ascii="仿宋" w:eastAsia="仿宋"/>
          <w:b/>
          <w:bCs/>
          <w:sz w:val="32"/>
          <w:szCs w:val="32"/>
        </w:rPr>
      </w:pPr>
      <w:r>
        <w:rPr>
          <w:rFonts w:ascii="仿宋" w:eastAsia="仿宋" w:hint="eastAsia"/>
          <w:b/>
          <w:bCs/>
          <w:sz w:val="32"/>
          <w:szCs w:val="32"/>
        </w:rPr>
        <w:t>（二）专业与学历（位）的对应关系</w:t>
      </w:r>
    </w:p>
    <w:p>
      <w:pPr>
        <w:spacing w:line="360" w:lineRule="auto"/>
        <w:ind w:firstLineChars="200" w:firstLine="640"/>
        <w:rPr>
          <w:rFonts w:ascii="仿宋" w:eastAsia="仿宋"/>
          <w:sz w:val="32"/>
          <w:szCs w:val="32"/>
        </w:rPr>
      </w:pPr>
      <w:r>
        <w:rPr>
          <w:rFonts w:ascii="仿宋" w:eastAsia="仿宋" w:hint="eastAsia"/>
          <w:sz w:val="32"/>
          <w:szCs w:val="32"/>
        </w:rPr>
        <w:t>报考者可以使用本人已经获得的任意学历（位）及其对应的专业进行报考。例如，获得硕士研究生学历的报考者，可以用本人本科的学历及其对应的专业进行报考。</w:t>
      </w:r>
    </w:p>
    <w:p>
      <w:pPr>
        <w:spacing w:line="360" w:lineRule="auto"/>
        <w:ind w:firstLineChars="200" w:firstLine="640"/>
        <w:rPr>
          <w:rFonts w:ascii="仿宋" w:eastAsia="仿宋"/>
          <w:sz w:val="32"/>
          <w:szCs w:val="32"/>
        </w:rPr>
      </w:pPr>
      <w:r>
        <w:rPr>
          <w:rFonts w:ascii="仿宋" w:eastAsia="仿宋" w:hint="eastAsia"/>
          <w:sz w:val="32"/>
          <w:szCs w:val="32"/>
        </w:rPr>
        <w:t>岗位资格条件要求的学历(位)原则上须为岗位所要求的专业对应的学历(位)及以上学历(位)，但报考者如果已符合岗位资格条件中最低学历(位)要求而持有岗位专业要求的同级或更高级学历或学位的，也可报考。</w:t>
      </w:r>
    </w:p>
    <w:p>
      <w:pPr>
        <w:spacing w:line="360" w:lineRule="auto"/>
        <w:ind w:firstLineChars="200" w:firstLine="640"/>
        <w:rPr>
          <w:rFonts w:ascii="仿宋" w:eastAsia="仿宋"/>
          <w:sz w:val="32"/>
          <w:szCs w:val="32"/>
        </w:rPr>
      </w:pPr>
      <w:r>
        <w:rPr>
          <w:rFonts w:ascii="仿宋" w:eastAsia="仿宋" w:hint="eastAsia"/>
          <w:sz w:val="32"/>
          <w:szCs w:val="32"/>
        </w:rPr>
        <w:t>例如，岗位要求本科学历、学士学位、工商管理专业。</w:t>
      </w:r>
    </w:p>
    <w:p>
      <w:pPr>
        <w:spacing w:line="360" w:lineRule="auto"/>
        <w:ind w:firstLineChars="200" w:firstLine="640"/>
        <w:rPr>
          <w:rFonts w:ascii="仿宋" w:eastAsia="仿宋"/>
          <w:sz w:val="32"/>
          <w:szCs w:val="32"/>
        </w:rPr>
      </w:pPr>
      <w:r>
        <w:rPr>
          <w:rFonts w:ascii="仿宋" w:eastAsia="仿宋" w:hint="eastAsia"/>
          <w:sz w:val="32"/>
          <w:szCs w:val="32"/>
        </w:rPr>
        <w:t>考生A：取得英语专业本科学历、学士学位，后读取工商管理专业硕士学位（单证，无学历），该考生可报考该岗位。</w:t>
      </w:r>
    </w:p>
    <w:p>
      <w:pPr>
        <w:spacing w:line="360" w:lineRule="auto"/>
        <w:ind w:firstLineChars="200" w:firstLine="640"/>
        <w:rPr>
          <w:rFonts w:ascii="仿宋" w:eastAsia="仿宋"/>
          <w:sz w:val="32"/>
          <w:szCs w:val="32"/>
        </w:rPr>
      </w:pPr>
      <w:r>
        <w:rPr>
          <w:rFonts w:ascii="仿宋" w:eastAsia="仿宋" w:hint="eastAsia"/>
          <w:sz w:val="32"/>
          <w:szCs w:val="32"/>
        </w:rPr>
        <w:t>考生B：取得英语专业本科学历、学士学位，后攻读工商管理专业硕士研究生（仅取得研究生学历未获硕士学位），该考生可报考该岗位。</w:t>
      </w:r>
    </w:p>
    <w:p>
      <w:pPr>
        <w:spacing w:line="360" w:lineRule="auto"/>
        <w:ind w:firstLineChars="200" w:firstLine="640"/>
        <w:rPr>
          <w:rFonts w:ascii="仿宋" w:eastAsia="仿宋"/>
          <w:sz w:val="32"/>
          <w:szCs w:val="32"/>
        </w:rPr>
      </w:pPr>
      <w:r>
        <w:rPr>
          <w:rFonts w:ascii="仿宋" w:eastAsia="仿宋" w:hint="eastAsia"/>
          <w:sz w:val="32"/>
          <w:szCs w:val="32"/>
        </w:rPr>
        <w:t>考生C：取得英语专业本科学历、学士学位，辅修工商管理专业取得学士学位，该考生可报考该岗位。</w:t>
      </w:r>
    </w:p>
    <w:p>
      <w:pPr>
        <w:spacing w:line="360" w:lineRule="auto"/>
        <w:ind w:firstLineChars="200" w:firstLine="640"/>
        <w:rPr>
          <w:rFonts w:ascii="仿宋" w:eastAsia="仿宋"/>
          <w:sz w:val="32"/>
          <w:szCs w:val="32"/>
        </w:rPr>
      </w:pPr>
      <w:r>
        <w:rPr>
          <w:rFonts w:ascii="仿宋" w:eastAsia="仿宋" w:hint="eastAsia"/>
          <w:sz w:val="32"/>
          <w:szCs w:val="32"/>
        </w:rPr>
        <w:t>考生D：取得英语专业本科学历、学士学位，函授工商管理专业取得本科学历，该考生可报考该岗位。</w:t>
      </w:r>
    </w:p>
    <w:p>
      <w:pPr>
        <w:spacing w:line="360" w:lineRule="auto"/>
        <w:ind w:firstLineChars="200" w:firstLine="640"/>
        <w:rPr>
          <w:rFonts w:ascii="仿宋" w:eastAsia="仿宋"/>
          <w:sz w:val="32"/>
          <w:szCs w:val="32"/>
        </w:rPr>
      </w:pPr>
      <w:r>
        <w:rPr>
          <w:rFonts w:ascii="仿宋" w:eastAsia="仿宋" w:hint="eastAsia"/>
          <w:sz w:val="32"/>
          <w:szCs w:val="32"/>
        </w:rPr>
        <w:t>考生E：取得工商管理专业大专学历，专升本取得英语专业本科学历、学士学位，该考生不能报考该岗位。</w:t>
      </w:r>
    </w:p>
    <w:p>
      <w:pPr>
        <w:spacing w:line="360" w:lineRule="auto"/>
        <w:ind w:firstLineChars="200" w:firstLine="640"/>
        <w:rPr>
          <w:rFonts w:ascii="仿宋" w:eastAsia="仿宋"/>
          <w:sz w:val="32"/>
          <w:szCs w:val="32"/>
        </w:rPr>
      </w:pPr>
      <w:r>
        <w:rPr>
          <w:rFonts w:ascii="仿宋" w:eastAsia="仿宋" w:hint="eastAsia"/>
          <w:sz w:val="32"/>
          <w:szCs w:val="32"/>
        </w:rPr>
        <w:t>考生F：取得英语专业本科学历（未取得学士学位），取得工商管理专业硕士学位（无学历），该考生可报考该岗位。</w:t>
      </w:r>
    </w:p>
    <w:p>
      <w:pPr>
        <w:spacing w:line="360" w:lineRule="auto"/>
        <w:ind w:firstLineChars="200" w:firstLine="640"/>
        <w:rPr>
          <w:rFonts w:ascii="仿宋" w:eastAsia="仿宋"/>
          <w:sz w:val="32"/>
          <w:szCs w:val="32"/>
        </w:rPr>
      </w:pPr>
      <w:r>
        <w:rPr>
          <w:rFonts w:ascii="仿宋" w:eastAsia="仿宋" w:hint="eastAsia"/>
          <w:sz w:val="32"/>
          <w:szCs w:val="32"/>
        </w:rPr>
        <w:t>考生G：取得英语专业本科学历、学士学位，工商管理专业肄业，该考生不能报考该岗位。</w:t>
      </w:r>
    </w:p>
    <w:p>
      <w:pPr>
        <w:spacing w:line="360" w:lineRule="auto"/>
        <w:ind w:firstLineChars="200" w:firstLine="640"/>
        <w:rPr>
          <w:rFonts w:ascii="仿宋" w:eastAsia="仿宋"/>
          <w:b/>
          <w:bCs/>
          <w:sz w:val="32"/>
          <w:szCs w:val="32"/>
        </w:rPr>
      </w:pPr>
      <w:bookmarkStart w:id="19" w:name="_Toc13981"/>
      <w:r>
        <w:rPr>
          <w:rFonts w:ascii="仿宋" w:eastAsia="仿宋" w:hint="eastAsia"/>
          <w:b/>
          <w:bCs/>
          <w:sz w:val="32"/>
          <w:szCs w:val="32"/>
        </w:rPr>
        <w:t>（三）专业资格的认定</w:t>
      </w:r>
      <w:bookmarkEnd w:id="19"/>
    </w:p>
    <w:p>
      <w:pPr>
        <w:spacing w:line="360" w:lineRule="auto"/>
        <w:ind w:firstLineChars="200" w:firstLine="640"/>
        <w:rPr>
          <w:rFonts w:ascii="仿宋" w:eastAsia="仿宋"/>
          <w:sz w:val="32"/>
          <w:szCs w:val="32"/>
        </w:rPr>
      </w:pPr>
      <w:r>
        <w:rPr>
          <w:rFonts w:ascii="仿宋" w:eastAsia="仿宋" w:hint="eastAsia"/>
          <w:sz w:val="32"/>
          <w:szCs w:val="32"/>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pPr>
        <w:spacing w:line="360" w:lineRule="auto"/>
        <w:ind w:firstLineChars="200" w:firstLine="640"/>
        <w:rPr>
          <w:rFonts w:ascii="仿宋" w:eastAsia="仿宋"/>
          <w:sz w:val="32"/>
          <w:szCs w:val="32"/>
        </w:rPr>
      </w:pPr>
      <w:r>
        <w:rPr>
          <w:rFonts w:ascii="仿宋" w:eastAsia="仿宋" w:hint="eastAsia"/>
          <w:sz w:val="32"/>
          <w:szCs w:val="32"/>
        </w:rPr>
        <w:t>经与招聘单位沟通，若报考者对专业资格审查结果仍有异议的，可在规定期限内及时通过监督机构的申诉通道提出申诉。</w:t>
      </w:r>
    </w:p>
    <w:p>
      <w:pPr>
        <w:spacing w:line="360" w:lineRule="auto"/>
        <w:ind w:firstLineChars="200" w:firstLine="640"/>
        <w:rPr>
          <w:rFonts w:ascii="仿宋" w:eastAsia="仿宋"/>
          <w:b/>
          <w:bCs/>
          <w:sz w:val="32"/>
          <w:szCs w:val="32"/>
        </w:rPr>
      </w:pPr>
      <w:bookmarkStart w:id="20" w:name="_Toc31288"/>
      <w:bookmarkEnd w:id="17"/>
      <w:r>
        <w:rPr>
          <w:rFonts w:ascii="仿宋" w:eastAsia="仿宋" w:hint="eastAsia"/>
          <w:b/>
          <w:bCs/>
          <w:sz w:val="32"/>
          <w:szCs w:val="32"/>
        </w:rPr>
        <w:t>七、开考比例</w:t>
      </w:r>
      <w:bookmarkEnd w:id="20"/>
    </w:p>
    <w:p>
      <w:pPr>
        <w:spacing w:line="360" w:lineRule="auto"/>
        <w:ind w:firstLineChars="200" w:firstLine="640"/>
        <w:rPr>
          <w:rFonts w:ascii="仿宋" w:eastAsia="仿宋"/>
          <w:b/>
          <w:bCs/>
          <w:sz w:val="32"/>
          <w:szCs w:val="32"/>
        </w:rPr>
      </w:pPr>
      <w:bookmarkStart w:id="21" w:name="_Toc25259"/>
      <w:r>
        <w:rPr>
          <w:rFonts w:ascii="仿宋" w:eastAsia="仿宋" w:hint="eastAsia"/>
          <w:b/>
          <w:bCs/>
          <w:sz w:val="32"/>
          <w:szCs w:val="32"/>
        </w:rPr>
        <w:t>（一）</w:t>
      </w:r>
      <w:bookmarkEnd w:id="21"/>
      <w:r>
        <w:rPr>
          <w:rFonts w:ascii="仿宋" w:eastAsia="仿宋" w:hint="eastAsia"/>
          <w:b/>
          <w:bCs/>
          <w:sz w:val="32"/>
          <w:szCs w:val="32"/>
        </w:rPr>
        <w:t>可降低比例开考情形</w:t>
      </w:r>
    </w:p>
    <w:p>
      <w:pPr>
        <w:spacing w:line="360" w:lineRule="auto"/>
        <w:ind w:firstLineChars="200" w:firstLine="640"/>
        <w:rPr>
          <w:rFonts w:ascii="仿宋" w:eastAsia="仿宋"/>
          <w:sz w:val="32"/>
          <w:szCs w:val="32"/>
        </w:rPr>
      </w:pPr>
      <w:r>
        <w:rPr>
          <w:rFonts w:ascii="仿宋" w:eastAsia="仿宋" w:hint="eastAsia"/>
          <w:sz w:val="32"/>
          <w:szCs w:val="32"/>
        </w:rPr>
        <w:t>符合岗位资格条件的报名人数与岗位拟聘人数比例达不到3:1的，原则上取消开考,情况确实特殊可以减少拟聘人数或申请适当降低比例开考。</w:t>
      </w:r>
    </w:p>
    <w:p>
      <w:pPr>
        <w:spacing w:line="360" w:lineRule="auto"/>
        <w:ind w:firstLineChars="200" w:firstLine="640"/>
        <w:rPr>
          <w:rFonts w:ascii="仿宋" w:eastAsia="仿宋"/>
          <w:b/>
          <w:bCs/>
          <w:sz w:val="32"/>
          <w:szCs w:val="32"/>
        </w:rPr>
      </w:pPr>
      <w:bookmarkStart w:id="22" w:name="_Toc21834"/>
      <w:r>
        <w:rPr>
          <w:rFonts w:ascii="仿宋" w:eastAsia="仿宋" w:hint="eastAsia"/>
          <w:b/>
          <w:bCs/>
          <w:sz w:val="32"/>
          <w:szCs w:val="32"/>
        </w:rPr>
        <w:t>（二）</w:t>
      </w:r>
      <w:bookmarkEnd w:id="22"/>
      <w:r>
        <w:rPr>
          <w:rFonts w:ascii="仿宋" w:eastAsia="仿宋" w:hint="eastAsia"/>
          <w:b/>
          <w:bCs/>
          <w:sz w:val="32"/>
          <w:szCs w:val="32"/>
        </w:rPr>
        <w:t>开考情况</w:t>
      </w:r>
    </w:p>
    <w:p>
      <w:pPr>
        <w:spacing w:line="360" w:lineRule="auto"/>
        <w:ind w:firstLineChars="200" w:firstLine="640"/>
        <w:rPr>
          <w:rFonts w:ascii="仿宋" w:eastAsia="仿宋"/>
          <w:sz w:val="32"/>
          <w:szCs w:val="32"/>
        </w:rPr>
      </w:pPr>
      <w:r>
        <w:rPr>
          <w:rFonts w:ascii="仿宋" w:eastAsia="仿宋" w:hint="eastAsia"/>
          <w:sz w:val="32"/>
          <w:szCs w:val="32"/>
        </w:rPr>
        <w:t>上述取消开考、减少拟聘人数、降低开考比例的岗位，由招聘单位及主管部门提出意见，报厦门市人力资源和社会保障局（以下简称市人社局）同意后，另行公告。</w:t>
      </w:r>
    </w:p>
    <w:p>
      <w:pPr>
        <w:spacing w:line="360" w:lineRule="auto"/>
        <w:rPr>
          <w:rFonts w:ascii="仿宋" w:eastAsia="仿宋"/>
          <w:b/>
          <w:bCs/>
          <w:sz w:val="32"/>
          <w:szCs w:val="32"/>
        </w:rPr>
      </w:pPr>
      <w:r>
        <w:rPr>
          <w:rFonts w:ascii="仿宋" w:eastAsia="仿宋" w:hint="eastAsia"/>
          <w:sz w:val="32"/>
          <w:szCs w:val="32"/>
        </w:rPr>
        <w:t xml:space="preserve"> </w:t>
      </w:r>
      <w:bookmarkStart w:id="23" w:name="_Toc20213"/>
      <w:r>
        <w:rPr>
          <w:rFonts w:ascii="仿宋" w:eastAsia="仿宋"/>
          <w:sz w:val="32"/>
          <w:szCs w:val="32"/>
        </w:rPr>
        <w:t xml:space="preserve">   </w:t>
      </w:r>
      <w:r>
        <w:rPr>
          <w:rFonts w:ascii="仿宋" w:eastAsia="仿宋"/>
          <w:b/>
          <w:bCs/>
          <w:sz w:val="32"/>
          <w:szCs w:val="32"/>
        </w:rPr>
        <w:t xml:space="preserve"> </w:t>
      </w:r>
      <w:r>
        <w:rPr>
          <w:rFonts w:ascii="仿宋" w:eastAsia="仿宋" w:hint="eastAsia"/>
          <w:b/>
          <w:bCs/>
          <w:sz w:val="32"/>
          <w:szCs w:val="32"/>
        </w:rPr>
        <w:t>八、笔试加分</w:t>
      </w:r>
      <w:bookmarkEnd w:id="23"/>
    </w:p>
    <w:p>
      <w:pPr>
        <w:spacing w:line="360" w:lineRule="auto"/>
        <w:ind w:firstLineChars="200" w:firstLine="640"/>
        <w:rPr>
          <w:rFonts w:ascii="仿宋" w:eastAsia="仿宋"/>
          <w:b/>
          <w:bCs/>
          <w:sz w:val="32"/>
          <w:szCs w:val="32"/>
        </w:rPr>
      </w:pPr>
      <w:bookmarkStart w:id="24" w:name="_Toc20307"/>
      <w:r>
        <w:rPr>
          <w:rFonts w:ascii="仿宋" w:eastAsia="仿宋" w:hint="eastAsia"/>
          <w:b/>
          <w:bCs/>
          <w:sz w:val="32"/>
          <w:szCs w:val="32"/>
        </w:rPr>
        <w:t>（一）加分原则</w:t>
      </w:r>
      <w:bookmarkEnd w:id="24"/>
    </w:p>
    <w:p>
      <w:pPr>
        <w:spacing w:line="360" w:lineRule="auto"/>
        <w:ind w:firstLineChars="200" w:firstLine="640"/>
        <w:rPr>
          <w:rFonts w:ascii="仿宋" w:eastAsia="仿宋"/>
          <w:sz w:val="32"/>
          <w:szCs w:val="32"/>
        </w:rPr>
      </w:pPr>
      <w:r>
        <w:rPr>
          <w:rFonts w:ascii="仿宋" w:eastAsia="仿宋" w:hint="eastAsia"/>
          <w:sz w:val="32"/>
          <w:szCs w:val="32"/>
        </w:rPr>
        <w:t>笔试成绩=笔试卷面分+各项加分。</w:t>
      </w:r>
    </w:p>
    <w:p>
      <w:pPr>
        <w:spacing w:line="360" w:lineRule="auto"/>
        <w:ind w:firstLineChars="200" w:firstLine="640"/>
        <w:rPr>
          <w:rFonts w:ascii="仿宋" w:eastAsia="仿宋"/>
          <w:sz w:val="32"/>
          <w:szCs w:val="32"/>
        </w:rPr>
      </w:pPr>
      <w:r>
        <w:rPr>
          <w:rFonts w:ascii="仿宋" w:eastAsia="仿宋" w:hint="eastAsia"/>
          <w:sz w:val="32"/>
          <w:szCs w:val="32"/>
        </w:rPr>
        <w:t>加分仅限于笔试卷面分，不受笔试满分限制。各项加分可累计计算，但累计最高不超过10分。曾通过享受政策待遇被录（聘）为公务员或事业单位编内工作人员的，不再享受相应项目的加分。</w:t>
      </w:r>
    </w:p>
    <w:p>
      <w:pPr>
        <w:spacing w:line="360" w:lineRule="auto"/>
        <w:ind w:firstLineChars="200" w:firstLine="640"/>
        <w:rPr>
          <w:rFonts w:ascii="仿宋" w:eastAsia="仿宋"/>
          <w:b/>
          <w:bCs/>
          <w:sz w:val="32"/>
          <w:szCs w:val="32"/>
        </w:rPr>
      </w:pPr>
      <w:bookmarkStart w:id="25" w:name="_Toc14075"/>
      <w:r>
        <w:rPr>
          <w:rFonts w:ascii="仿宋" w:eastAsia="仿宋" w:hint="eastAsia"/>
          <w:b/>
          <w:bCs/>
          <w:sz w:val="32"/>
          <w:szCs w:val="32"/>
        </w:rPr>
        <w:t>（二）加分对象</w:t>
      </w:r>
      <w:bookmarkEnd w:id="25"/>
    </w:p>
    <w:p>
      <w:pPr>
        <w:spacing w:line="360" w:lineRule="auto"/>
        <w:ind w:firstLineChars="200" w:firstLine="640"/>
        <w:rPr>
          <w:rFonts w:ascii="仿宋" w:eastAsia="仿宋"/>
          <w:sz w:val="32"/>
          <w:szCs w:val="32"/>
        </w:rPr>
      </w:pPr>
      <w:r>
        <w:rPr>
          <w:rFonts w:ascii="仿宋" w:eastAsia="仿宋" w:hint="eastAsia"/>
          <w:sz w:val="32"/>
          <w:szCs w:val="32"/>
        </w:rPr>
        <w:t>参加厦门市事业单位编内工作人员招聘时，符合以下加分政策的报考人员享受笔试加分待遇：</w:t>
      </w:r>
    </w:p>
    <w:p>
      <w:pPr>
        <w:ind w:firstLineChars="200" w:firstLine="640"/>
        <w:outlineLvl w:val="1"/>
        <w:rPr>
          <w:rFonts w:ascii="仿宋_GB2312" w:eastAsia="仿宋_GB2312" w:cs="仿宋_GB2312"/>
          <w:b/>
          <w:bCs/>
          <w:sz w:val="32"/>
          <w:szCs w:val="32"/>
        </w:rPr>
      </w:pPr>
      <w:bookmarkStart w:id="26" w:name="_Toc17898"/>
      <w:bookmarkStart w:id="27" w:name="_Toc13976"/>
      <w:bookmarkStart w:id="28" w:name="_Toc9098"/>
      <w:bookmarkStart w:id="29" w:name="_Toc15632"/>
      <w:bookmarkStart w:id="30" w:name="_Toc10848"/>
      <w:bookmarkStart w:id="31" w:name="_Toc30306"/>
      <w:bookmarkStart w:id="32" w:name="_Toc11357"/>
      <w:r>
        <w:rPr>
          <w:rFonts w:ascii="仿宋_GB2312" w:eastAsia="仿宋_GB2312" w:cs="仿宋_GB2312" w:hint="eastAsia"/>
          <w:b/>
          <w:bCs/>
          <w:sz w:val="32"/>
          <w:szCs w:val="32"/>
        </w:rPr>
        <w:t>1.服务基层项目高校毕业人员</w:t>
      </w:r>
      <w:bookmarkEnd w:id="26"/>
      <w:bookmarkEnd w:id="27"/>
      <w:bookmarkEnd w:id="28"/>
      <w:bookmarkEnd w:id="29"/>
      <w:bookmarkEnd w:id="30"/>
    </w:p>
    <w:p>
      <w:pPr>
        <w:ind w:firstLineChars="200" w:firstLine="640"/>
        <w:rPr>
          <w:rFonts w:ascii="仿宋_GB2312" w:eastAsia="仿宋_GB2312"/>
          <w:sz w:val="32"/>
          <w:szCs w:val="32"/>
        </w:rPr>
      </w:pPr>
      <w:r>
        <w:rPr>
          <w:rFonts w:ascii="仿宋_GB2312" w:eastAsia="仿宋_GB2312" w:hint="eastAsia"/>
          <w:sz w:val="32"/>
          <w:szCs w:val="32"/>
        </w:rPr>
        <w:t>参加国家和福建省组织实施的“三支一扶”计划、“志愿服务西部计划”（含研究生支教团）、“志愿服务欠发达地区计划”、大学生“村官”和“服务社区计划”，服务期限为1年及以上且于202</w:t>
      </w:r>
      <w:r>
        <w:rPr>
          <w:rFonts w:ascii="仿宋_GB2312" w:eastAsia="仿宋_GB2312"/>
          <w:sz w:val="32"/>
          <w:szCs w:val="32"/>
        </w:rPr>
        <w:t>1</w:t>
      </w:r>
      <w:r>
        <w:rPr>
          <w:rFonts w:ascii="仿宋_GB2312" w:eastAsia="仿宋_GB2312" w:hint="eastAsia"/>
          <w:sz w:val="32"/>
          <w:szCs w:val="32"/>
        </w:rPr>
        <w:t xml:space="preserve">年12月31日前期满考核合格的福建户籍或福建生源高校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ind w:firstLineChars="200" w:firstLine="640"/>
        <w:outlineLvl w:val="1"/>
        <w:rPr>
          <w:rFonts w:ascii="仿宋_GB2312" w:eastAsia="仿宋_GB2312" w:cs="仿宋_GB2312"/>
          <w:b/>
          <w:bCs/>
          <w:sz w:val="32"/>
          <w:szCs w:val="32"/>
        </w:rPr>
      </w:pPr>
      <w:bookmarkStart w:id="33" w:name="_Toc3463"/>
      <w:bookmarkStart w:id="34" w:name="_Toc1747"/>
      <w:bookmarkStart w:id="35" w:name="_Toc24980"/>
      <w:bookmarkStart w:id="36" w:name="_Toc22049"/>
      <w:bookmarkStart w:id="37" w:name="_Toc12368"/>
      <w:r>
        <w:rPr>
          <w:rFonts w:ascii="仿宋_GB2312" w:eastAsia="仿宋_GB2312" w:cs="仿宋_GB2312" w:hint="eastAsia"/>
          <w:b/>
          <w:bCs/>
          <w:sz w:val="32"/>
          <w:szCs w:val="32"/>
        </w:rPr>
        <w:t>2.退役士兵（含大学生退役士兵）</w:t>
      </w:r>
      <w:bookmarkEnd w:id="33"/>
      <w:bookmarkEnd w:id="34"/>
      <w:bookmarkEnd w:id="35"/>
      <w:bookmarkEnd w:id="36"/>
      <w:bookmarkEnd w:id="37"/>
    </w:p>
    <w:p>
      <w:pPr>
        <w:ind w:firstLineChars="200" w:firstLine="640"/>
        <w:rPr>
          <w:rFonts w:ascii="仿宋_GB2312" w:eastAsia="仿宋_GB2312"/>
          <w:sz w:val="32"/>
          <w:szCs w:val="32"/>
        </w:rPr>
      </w:pPr>
      <w:r>
        <w:rPr>
          <w:rFonts w:ascii="仿宋_GB2312" w:eastAsia="仿宋_GB2312" w:hint="eastAsia"/>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ind w:firstLineChars="200" w:firstLine="640"/>
        <w:outlineLvl w:val="1"/>
        <w:rPr>
          <w:rFonts w:ascii="仿宋_GB2312" w:eastAsia="仿宋_GB2312" w:cs="仿宋_GB2312"/>
          <w:b/>
          <w:bCs/>
          <w:sz w:val="32"/>
          <w:szCs w:val="32"/>
        </w:rPr>
      </w:pPr>
      <w:bookmarkStart w:id="38" w:name="_Toc31915"/>
      <w:bookmarkStart w:id="39" w:name="_Toc15434"/>
      <w:bookmarkStart w:id="40" w:name="_Toc5502"/>
      <w:r>
        <w:rPr>
          <w:rFonts w:ascii="仿宋_GB2312" w:eastAsia="仿宋_GB2312" w:cs="仿宋_GB2312" w:hint="eastAsia"/>
          <w:b/>
          <w:bCs/>
          <w:sz w:val="32"/>
          <w:szCs w:val="32"/>
        </w:rPr>
        <w:t>3.退役优秀运动员</w:t>
      </w:r>
      <w:bookmarkEnd w:id="38"/>
      <w:bookmarkEnd w:id="39"/>
      <w:bookmarkEnd w:id="40"/>
    </w:p>
    <w:p>
      <w:pPr>
        <w:ind w:firstLineChars="200" w:firstLine="640"/>
        <w:rPr>
          <w:rFonts w:ascii="仿宋_GB2312" w:eastAsia="仿宋_GB2312"/>
          <w:sz w:val="32"/>
          <w:szCs w:val="32"/>
        </w:rPr>
      </w:pPr>
      <w:r>
        <w:rPr>
          <w:rFonts w:ascii="仿宋_GB2312" w:eastAsia="仿宋_GB2312" w:hint="eastAsia"/>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spacing w:line="360" w:lineRule="auto"/>
        <w:ind w:firstLineChars="200" w:firstLine="640"/>
        <w:rPr>
          <w:rFonts w:ascii="仿宋" w:eastAsia="仿宋"/>
          <w:b/>
          <w:bCs/>
          <w:sz w:val="32"/>
          <w:szCs w:val="32"/>
        </w:rPr>
      </w:pPr>
      <w:r>
        <w:rPr>
          <w:rFonts w:ascii="仿宋" w:eastAsia="仿宋" w:hint="eastAsia"/>
          <w:b/>
          <w:bCs/>
          <w:sz w:val="32"/>
          <w:szCs w:val="32"/>
        </w:rPr>
        <w:t>（三）加分证明材料</w:t>
      </w:r>
      <w:bookmarkEnd w:id="31"/>
      <w:bookmarkEnd w:id="32"/>
    </w:p>
    <w:p>
      <w:pPr>
        <w:spacing w:line="360" w:lineRule="auto"/>
        <w:ind w:firstLineChars="200" w:firstLine="640"/>
        <w:rPr>
          <w:rFonts w:ascii="仿宋" w:eastAsia="仿宋"/>
          <w:sz w:val="32"/>
          <w:szCs w:val="32"/>
        </w:rPr>
      </w:pPr>
      <w:r>
        <w:rPr>
          <w:rFonts w:ascii="仿宋" w:eastAsia="仿宋" w:hint="eastAsia"/>
          <w:sz w:val="32"/>
          <w:szCs w:val="32"/>
        </w:rPr>
        <w:t>符合加分政策的报考人员须在报名时如实填报，并于报名期间主动向招聘单位沟通提交以下加分证明材料（提交方式请与招聘单位联系人联系），否则视为放弃享受加分政策：</w:t>
      </w:r>
    </w:p>
    <w:p>
      <w:pPr>
        <w:spacing w:line="360" w:lineRule="auto"/>
        <w:ind w:firstLineChars="200" w:firstLine="640"/>
        <w:rPr>
          <w:rFonts w:ascii="仿宋" w:eastAsia="仿宋"/>
          <w:sz w:val="32"/>
          <w:szCs w:val="32"/>
        </w:rPr>
      </w:pPr>
      <w:r>
        <w:rPr>
          <w:rFonts w:ascii="仿宋" w:eastAsia="仿宋" w:hint="eastAsia"/>
          <w:sz w:val="32"/>
          <w:szCs w:val="32"/>
        </w:rPr>
        <w:t>1.服务基层项目毕业生须提交组织实施相应项目的机构出具的服务基层期满考核合格证书（或服务期满考核合格材料），以及福建户籍或福建生源证明材料。</w:t>
      </w:r>
    </w:p>
    <w:p>
      <w:pPr>
        <w:spacing w:line="360" w:lineRule="auto"/>
        <w:ind w:firstLineChars="200" w:firstLine="640"/>
        <w:rPr>
          <w:rFonts w:ascii="仿宋" w:eastAsia="仿宋"/>
          <w:sz w:val="32"/>
          <w:szCs w:val="32"/>
        </w:rPr>
      </w:pPr>
      <w:r>
        <w:rPr>
          <w:rFonts w:ascii="仿宋" w:eastAsia="仿宋" w:hint="eastAsia"/>
          <w:sz w:val="32"/>
          <w:szCs w:val="32"/>
        </w:rPr>
        <w:t xml:space="preserve">2.符合加分政策的退役士兵（含大学生退役士兵）安置在厦门市的，可于上班时间持身份证、退伍证前往厦门市退役军人事务局移交安置与就业创业处开具证明材料（联系电话0592-2226263）；安置在厦门市以外的，可由安置地县级及以上退役军人事务部门开具证明。    </w:t>
      </w:r>
    </w:p>
    <w:p>
      <w:pPr>
        <w:spacing w:line="360" w:lineRule="auto"/>
        <w:ind w:firstLineChars="200" w:firstLine="640"/>
        <w:rPr>
          <w:rFonts w:ascii="仿宋" w:eastAsia="仿宋"/>
          <w:sz w:val="32"/>
          <w:szCs w:val="32"/>
        </w:rPr>
      </w:pPr>
      <w:r>
        <w:rPr>
          <w:rFonts w:ascii="仿宋" w:eastAsia="仿宋" w:hint="eastAsia"/>
          <w:sz w:val="32"/>
          <w:szCs w:val="32"/>
        </w:rPr>
        <w:t>3.符合加分政策的我市退役优秀运动员可持相应奖项证书前往厦门市体育局人事处开具证明材料(联系电话0592-5339323)。</w:t>
      </w:r>
    </w:p>
    <w:p>
      <w:pPr>
        <w:spacing w:line="360" w:lineRule="auto"/>
        <w:ind w:firstLineChars="200" w:firstLine="640"/>
        <w:rPr>
          <w:rFonts w:ascii="仿宋" w:eastAsia="仿宋"/>
          <w:b/>
          <w:bCs/>
          <w:sz w:val="32"/>
          <w:szCs w:val="32"/>
        </w:rPr>
      </w:pPr>
      <w:bookmarkStart w:id="41" w:name="_Toc30921"/>
      <w:r>
        <w:rPr>
          <w:rFonts w:ascii="仿宋" w:eastAsia="仿宋" w:hint="eastAsia"/>
          <w:b/>
          <w:bCs/>
          <w:sz w:val="32"/>
          <w:szCs w:val="32"/>
        </w:rPr>
        <w:t>九、综合总分计算</w:t>
      </w:r>
      <w:bookmarkEnd w:id="41"/>
    </w:p>
    <w:p>
      <w:pPr>
        <w:spacing w:line="360" w:lineRule="auto"/>
        <w:ind w:firstLineChars="200" w:firstLine="640"/>
        <w:rPr>
          <w:rFonts w:ascii="仿宋" w:eastAsia="仿宋"/>
          <w:sz w:val="32"/>
          <w:szCs w:val="32"/>
        </w:rPr>
      </w:pPr>
      <w:r>
        <w:rPr>
          <w:rFonts w:ascii="仿宋" w:eastAsia="仿宋" w:hint="eastAsia"/>
          <w:sz w:val="32"/>
          <w:szCs w:val="32"/>
        </w:rPr>
        <w:t>综合总分合格线为60分，综合总分=笔试成绩×50%+面试成绩×50%。</w:t>
      </w:r>
    </w:p>
    <w:p>
      <w:pPr>
        <w:spacing w:line="360" w:lineRule="auto"/>
        <w:ind w:firstLineChars="200" w:firstLine="640"/>
        <w:rPr>
          <w:rFonts w:ascii="仿宋" w:eastAsia="仿宋"/>
          <w:sz w:val="32"/>
          <w:szCs w:val="32"/>
        </w:rPr>
      </w:pPr>
      <w:r>
        <w:rPr>
          <w:rFonts w:ascii="仿宋" w:eastAsia="仿宋" w:hint="eastAsia"/>
          <w:sz w:val="32"/>
          <w:szCs w:val="32"/>
        </w:rPr>
        <w:t>笔试成绩、面试成绩、综合总分均采用四舍五入方式取小数点后2位（必要时可增加小数点位数）。对于综合总分相同者，按以下顺序进一步确定名次排列：</w:t>
      </w:r>
    </w:p>
    <w:p>
      <w:pPr>
        <w:spacing w:line="360" w:lineRule="auto"/>
        <w:ind w:firstLineChars="200" w:firstLine="640"/>
        <w:rPr>
          <w:rFonts w:ascii="仿宋" w:eastAsia="仿宋"/>
          <w:sz w:val="32"/>
          <w:szCs w:val="32"/>
        </w:rPr>
      </w:pPr>
      <w:r>
        <w:rPr>
          <w:rFonts w:ascii="仿宋" w:eastAsia="仿宋" w:hint="eastAsia"/>
          <w:sz w:val="32"/>
          <w:szCs w:val="32"/>
        </w:rPr>
        <w:t>（一）按笔试成绩从高到低排列；</w:t>
      </w:r>
    </w:p>
    <w:p>
      <w:pPr>
        <w:spacing w:line="360" w:lineRule="auto"/>
        <w:ind w:firstLineChars="200" w:firstLine="640"/>
        <w:rPr>
          <w:rFonts w:ascii="仿宋" w:eastAsia="仿宋"/>
          <w:sz w:val="32"/>
          <w:szCs w:val="32"/>
        </w:rPr>
      </w:pPr>
      <w:r>
        <w:rPr>
          <w:rFonts w:ascii="仿宋" w:eastAsia="仿宋" w:hint="eastAsia"/>
          <w:sz w:val="32"/>
          <w:szCs w:val="32"/>
        </w:rPr>
        <w:t>（二）若笔试成绩又相同，按面试成绩排列；</w:t>
      </w:r>
    </w:p>
    <w:p>
      <w:pPr>
        <w:spacing w:line="360" w:lineRule="auto"/>
        <w:ind w:firstLineChars="200" w:firstLine="640"/>
        <w:rPr>
          <w:rFonts w:ascii="仿宋" w:eastAsia="仿宋"/>
          <w:sz w:val="32"/>
          <w:szCs w:val="32"/>
        </w:rPr>
      </w:pPr>
      <w:r>
        <w:rPr>
          <w:rFonts w:ascii="仿宋" w:eastAsia="仿宋" w:hint="eastAsia"/>
          <w:sz w:val="32"/>
          <w:szCs w:val="32"/>
        </w:rPr>
        <w:t xml:space="preserve">（三）若面试成绩依然相同，符合国家、福建省或厦门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 </w:t>
      </w:r>
      <w:bookmarkStart w:id="42" w:name="_Toc46222491"/>
    </w:p>
    <w:p>
      <w:pPr>
        <w:spacing w:line="360" w:lineRule="auto"/>
        <w:ind w:firstLineChars="200" w:firstLine="640"/>
        <w:rPr>
          <w:rFonts w:ascii="仿宋" w:eastAsia="仿宋"/>
          <w:b/>
          <w:bCs/>
          <w:sz w:val="32"/>
          <w:szCs w:val="32"/>
        </w:rPr>
      </w:pPr>
      <w:r>
        <w:rPr>
          <w:rFonts w:ascii="仿宋" w:eastAsia="仿宋" w:hint="eastAsia"/>
          <w:b/>
          <w:bCs/>
          <w:sz w:val="32"/>
          <w:szCs w:val="32"/>
        </w:rPr>
        <w:t>十、 体检和考察</w:t>
      </w:r>
      <w:bookmarkEnd w:id="42"/>
    </w:p>
    <w:p>
      <w:pPr>
        <w:spacing w:line="360" w:lineRule="auto"/>
        <w:ind w:firstLineChars="200" w:firstLine="640"/>
        <w:rPr>
          <w:rFonts w:ascii="仿宋" w:eastAsia="仿宋"/>
          <w:b/>
          <w:bCs/>
          <w:sz w:val="32"/>
          <w:szCs w:val="32"/>
        </w:rPr>
      </w:pPr>
      <w:r>
        <w:rPr>
          <w:rFonts w:ascii="仿宋" w:eastAsia="仿宋" w:hint="eastAsia"/>
          <w:b/>
          <w:bCs/>
          <w:sz w:val="32"/>
          <w:szCs w:val="32"/>
        </w:rPr>
        <w:t>（一）确定体检和考察人选</w:t>
      </w:r>
    </w:p>
    <w:p>
      <w:pPr>
        <w:spacing w:line="360" w:lineRule="auto"/>
        <w:ind w:firstLineChars="200" w:firstLine="640"/>
        <w:rPr>
          <w:rFonts w:ascii="仿宋" w:eastAsia="仿宋"/>
          <w:sz w:val="32"/>
          <w:szCs w:val="32"/>
        </w:rPr>
      </w:pPr>
      <w:bookmarkStart w:id="43" w:name="_Hlk37691292"/>
      <w:r>
        <w:rPr>
          <w:rFonts w:ascii="仿宋" w:eastAsia="仿宋" w:hint="eastAsia"/>
          <w:sz w:val="32"/>
          <w:szCs w:val="32"/>
        </w:rPr>
        <w:t>从笔试和面试成绩均合格者中，</w:t>
      </w:r>
      <w:bookmarkEnd w:id="43"/>
      <w:r>
        <w:rPr>
          <w:rFonts w:ascii="仿宋" w:eastAsia="仿宋" w:hint="eastAsia"/>
          <w:sz w:val="32"/>
          <w:szCs w:val="32"/>
        </w:rPr>
        <w:t>根据综合总分排名顺序，按岗位拟招聘人数1:1的比例从高分至低分确定体检和考察人选。</w:t>
      </w:r>
    </w:p>
    <w:p>
      <w:pPr>
        <w:spacing w:line="360" w:lineRule="auto"/>
        <w:ind w:firstLineChars="200" w:firstLine="640"/>
        <w:rPr>
          <w:rFonts w:ascii="仿宋" w:eastAsia="仿宋"/>
          <w:b/>
          <w:bCs/>
          <w:sz w:val="32"/>
          <w:szCs w:val="32"/>
        </w:rPr>
      </w:pPr>
      <w:r>
        <w:rPr>
          <w:rFonts w:ascii="仿宋" w:eastAsia="仿宋" w:hint="eastAsia"/>
          <w:b/>
          <w:bCs/>
          <w:sz w:val="32"/>
          <w:szCs w:val="32"/>
        </w:rPr>
        <w:t>（二）组织体检和考察</w:t>
      </w:r>
    </w:p>
    <w:p>
      <w:pPr>
        <w:spacing w:line="360" w:lineRule="auto"/>
        <w:ind w:firstLineChars="200" w:firstLine="640"/>
        <w:rPr>
          <w:rFonts w:ascii="仿宋" w:eastAsia="仿宋"/>
          <w:sz w:val="32"/>
          <w:szCs w:val="32"/>
        </w:rPr>
      </w:pPr>
      <w:r>
        <w:rPr>
          <w:rFonts w:ascii="仿宋" w:eastAsia="仿宋" w:hint="eastAsia"/>
          <w:sz w:val="32"/>
          <w:szCs w:val="32"/>
        </w:rPr>
        <w:t>体检和考察由招聘单位会同主管部门组织实施。体检人员应根据通知按时参加并配合体检，否则，视为放弃资格。</w:t>
      </w:r>
    </w:p>
    <w:p>
      <w:pPr>
        <w:spacing w:line="360" w:lineRule="auto"/>
        <w:ind w:firstLineChars="200" w:firstLine="640"/>
        <w:rPr>
          <w:rFonts w:ascii="仿宋" w:eastAsia="仿宋"/>
          <w:b/>
          <w:bCs/>
          <w:sz w:val="32"/>
          <w:szCs w:val="32"/>
        </w:rPr>
      </w:pPr>
      <w:r>
        <w:rPr>
          <w:rFonts w:ascii="仿宋" w:eastAsia="仿宋" w:hint="eastAsia"/>
          <w:b/>
          <w:bCs/>
          <w:sz w:val="32"/>
          <w:szCs w:val="32"/>
        </w:rPr>
        <w:t>（三）体检依据</w:t>
      </w:r>
    </w:p>
    <w:p>
      <w:pPr>
        <w:spacing w:line="360" w:lineRule="auto"/>
        <w:ind w:firstLineChars="200" w:firstLine="640"/>
        <w:rPr>
          <w:rFonts w:ascii="仿宋" w:eastAsia="仿宋"/>
          <w:sz w:val="32"/>
          <w:szCs w:val="32"/>
        </w:rPr>
      </w:pPr>
      <w:r>
        <w:rPr>
          <w:rFonts w:ascii="仿宋" w:eastAsia="仿宋" w:hint="eastAsia"/>
          <w:sz w:val="32"/>
          <w:szCs w:val="32"/>
        </w:rPr>
        <w:t>本次招聘体检参照《海船船员健康检查要求》（海船员[2012]678号）以及《关于印发&lt;中华人民共和国海船船员健康证书管理办法&gt;的通知》（海船员[2012]231号）的规定要求，具体检测方法由体检医院结合实际确定。体检费用个人自理。</w:t>
      </w:r>
    </w:p>
    <w:p>
      <w:pPr>
        <w:spacing w:line="360" w:lineRule="auto"/>
        <w:ind w:firstLineChars="200" w:firstLine="640"/>
        <w:rPr>
          <w:rFonts w:ascii="仿宋" w:eastAsia="仿宋"/>
          <w:b/>
          <w:bCs/>
          <w:sz w:val="32"/>
          <w:szCs w:val="32"/>
        </w:rPr>
      </w:pPr>
      <w:bookmarkStart w:id="44" w:name="_Toc25220"/>
      <w:r>
        <w:rPr>
          <w:rFonts w:ascii="仿宋" w:eastAsia="仿宋" w:hint="eastAsia"/>
          <w:b/>
          <w:bCs/>
          <w:sz w:val="32"/>
          <w:szCs w:val="32"/>
        </w:rPr>
        <w:t>（四）体检复检</w:t>
      </w:r>
      <w:bookmarkEnd w:id="44"/>
    </w:p>
    <w:p>
      <w:pPr>
        <w:spacing w:line="360" w:lineRule="auto"/>
        <w:ind w:firstLineChars="200" w:firstLine="640"/>
        <w:rPr>
          <w:rFonts w:ascii="仿宋" w:eastAsia="仿宋"/>
          <w:sz w:val="32"/>
          <w:szCs w:val="32"/>
        </w:rPr>
      </w:pPr>
      <w:r>
        <w:rPr>
          <w:rFonts w:ascii="仿宋" w:eastAsia="仿宋" w:hint="eastAsia"/>
          <w:sz w:val="32"/>
          <w:szCs w:val="32"/>
        </w:rPr>
        <w:t>复检参照人力资源社会保障部、卫生部、国家公务员局《关于进一步做好公务员考试录用体检工作的通知》(人社部发〔2012〕65号)的有关规定执行，其中：</w:t>
      </w:r>
    </w:p>
    <w:p>
      <w:pPr>
        <w:spacing w:line="360" w:lineRule="auto"/>
        <w:ind w:firstLineChars="200" w:firstLine="640"/>
        <w:rPr>
          <w:rFonts w:ascii="仿宋" w:eastAsia="仿宋"/>
          <w:sz w:val="32"/>
          <w:szCs w:val="32"/>
        </w:rPr>
      </w:pPr>
      <w:r>
        <w:rPr>
          <w:rFonts w:ascii="仿宋" w:eastAsia="仿宋" w:hint="eastAsia"/>
          <w:sz w:val="32"/>
          <w:szCs w:val="32"/>
        </w:rPr>
        <w:t>1.对心率、视力、听力、血压等项目达不到体检合格标准的，安排当日复检；对边缘性心脏杂音、病理性心电图、病理性杂音、频发早搏（心电图证实）等项目达不到体检合格标准的，安排当场复检。</w:t>
      </w:r>
    </w:p>
    <w:p>
      <w:pPr>
        <w:spacing w:line="360" w:lineRule="auto"/>
        <w:ind w:firstLineChars="200" w:firstLine="640"/>
        <w:rPr>
          <w:rFonts w:ascii="仿宋" w:eastAsia="仿宋"/>
          <w:sz w:val="32"/>
          <w:szCs w:val="32"/>
        </w:rPr>
      </w:pPr>
      <w:r>
        <w:rPr>
          <w:rFonts w:ascii="仿宋" w:eastAsia="仿宋" w:hint="eastAsia"/>
          <w:sz w:val="32"/>
          <w:szCs w:val="32"/>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pPr>
        <w:spacing w:line="360" w:lineRule="auto"/>
        <w:ind w:firstLineChars="200" w:firstLine="640"/>
        <w:rPr>
          <w:rFonts w:ascii="仿宋" w:eastAsia="仿宋"/>
          <w:sz w:val="32"/>
          <w:szCs w:val="32"/>
        </w:rPr>
      </w:pPr>
      <w:r>
        <w:rPr>
          <w:rFonts w:ascii="仿宋" w:eastAsia="仿宋" w:hint="eastAsia"/>
          <w:sz w:val="32"/>
          <w:szCs w:val="32"/>
        </w:rPr>
        <w:t>3.组织体检单位对体检结论有疑问的，在接到体检结论通知之日起7日内决定是否进行复检。</w:t>
      </w:r>
    </w:p>
    <w:p>
      <w:pPr>
        <w:spacing w:line="360" w:lineRule="auto"/>
        <w:ind w:firstLineChars="200" w:firstLine="640"/>
        <w:rPr>
          <w:rFonts w:ascii="仿宋" w:eastAsia="仿宋"/>
          <w:b/>
          <w:bCs/>
          <w:sz w:val="32"/>
          <w:szCs w:val="32"/>
        </w:rPr>
      </w:pPr>
      <w:bookmarkStart w:id="45" w:name="_Toc14586"/>
      <w:r>
        <w:rPr>
          <w:rFonts w:ascii="仿宋" w:eastAsia="仿宋" w:hint="eastAsia"/>
          <w:b/>
          <w:bCs/>
          <w:sz w:val="32"/>
          <w:szCs w:val="32"/>
        </w:rPr>
        <w:t>（五）可延迟体检的情形</w:t>
      </w:r>
      <w:bookmarkEnd w:id="45"/>
    </w:p>
    <w:p>
      <w:pPr>
        <w:spacing w:line="360" w:lineRule="auto"/>
        <w:ind w:firstLineChars="200" w:firstLine="640"/>
        <w:rPr>
          <w:rFonts w:ascii="仿宋" w:eastAsia="仿宋"/>
          <w:sz w:val="32"/>
          <w:szCs w:val="32"/>
        </w:rPr>
      </w:pPr>
      <w:r>
        <w:rPr>
          <w:rFonts w:ascii="仿宋" w:eastAsia="仿宋" w:hint="eastAsia"/>
          <w:sz w:val="32"/>
          <w:szCs w:val="32"/>
        </w:rPr>
        <w:t>女性报考者因怀孕、哺乳期需申请延期体检的，应提供相应的医学证明并与组织体检单位约定延缓体检的合理期限。</w:t>
      </w:r>
    </w:p>
    <w:p>
      <w:pPr>
        <w:spacing w:line="360" w:lineRule="auto"/>
        <w:ind w:firstLineChars="200" w:firstLine="640"/>
        <w:rPr>
          <w:rFonts w:ascii="仿宋" w:eastAsia="仿宋"/>
          <w:b/>
          <w:bCs/>
          <w:sz w:val="32"/>
          <w:szCs w:val="32"/>
        </w:rPr>
      </w:pPr>
      <w:bookmarkStart w:id="46" w:name="_Toc15813"/>
      <w:r>
        <w:rPr>
          <w:rFonts w:ascii="仿宋" w:eastAsia="仿宋" w:hint="eastAsia"/>
          <w:b/>
          <w:bCs/>
          <w:sz w:val="32"/>
          <w:szCs w:val="32"/>
        </w:rPr>
        <w:t>（六）考察</w:t>
      </w:r>
      <w:bookmarkEnd w:id="46"/>
    </w:p>
    <w:p>
      <w:pPr>
        <w:spacing w:line="360" w:lineRule="auto"/>
        <w:ind w:firstLineChars="200" w:firstLine="640"/>
        <w:rPr>
          <w:rFonts w:ascii="仿宋" w:eastAsia="仿宋"/>
          <w:sz w:val="32"/>
          <w:szCs w:val="32"/>
        </w:rPr>
      </w:pPr>
      <w:r>
        <w:rPr>
          <w:rFonts w:ascii="仿宋" w:eastAsia="仿宋"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spacing w:line="360" w:lineRule="auto"/>
        <w:ind w:firstLineChars="200" w:firstLine="640"/>
        <w:rPr>
          <w:rFonts w:ascii="仿宋" w:eastAsia="仿宋"/>
          <w:sz w:val="32"/>
          <w:szCs w:val="32"/>
        </w:rPr>
      </w:pPr>
      <w:r>
        <w:rPr>
          <w:rFonts w:ascii="仿宋" w:eastAsia="仿宋" w:hint="eastAsia"/>
          <w:sz w:val="32"/>
          <w:szCs w:val="32"/>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pPr>
        <w:spacing w:line="360" w:lineRule="auto"/>
        <w:rPr>
          <w:rFonts w:ascii="仿宋" w:eastAsia="仿宋"/>
          <w:b/>
          <w:bCs/>
          <w:sz w:val="32"/>
          <w:szCs w:val="32"/>
        </w:rPr>
      </w:pPr>
      <w:r>
        <w:rPr>
          <w:rFonts w:ascii="仿宋" w:eastAsia="仿宋" w:hint="eastAsia"/>
          <w:sz w:val="32"/>
          <w:szCs w:val="32"/>
        </w:rPr>
        <w:t xml:space="preserve">  </w:t>
      </w:r>
      <w:r>
        <w:rPr>
          <w:rFonts w:ascii="仿宋" w:eastAsia="仿宋" w:hint="eastAsia"/>
          <w:b/>
          <w:bCs/>
          <w:sz w:val="32"/>
          <w:szCs w:val="32"/>
        </w:rPr>
        <w:t xml:space="preserve">  </w:t>
      </w:r>
      <w:bookmarkStart w:id="47" w:name="_Toc46222492"/>
      <w:r>
        <w:rPr>
          <w:rFonts w:ascii="仿宋" w:eastAsia="仿宋" w:hint="eastAsia"/>
          <w:b/>
          <w:bCs/>
          <w:sz w:val="32"/>
          <w:szCs w:val="32"/>
        </w:rPr>
        <w:t>十一、拟聘用公示</w:t>
      </w:r>
      <w:bookmarkEnd w:id="47"/>
    </w:p>
    <w:p>
      <w:pPr>
        <w:spacing w:line="360" w:lineRule="auto"/>
        <w:ind w:firstLineChars="200" w:firstLine="640"/>
        <w:rPr>
          <w:rFonts w:ascii="仿宋" w:eastAsia="仿宋"/>
          <w:sz w:val="32"/>
          <w:szCs w:val="32"/>
        </w:rPr>
      </w:pPr>
      <w:r>
        <w:rPr>
          <w:rFonts w:ascii="仿宋" w:eastAsia="仿宋" w:hint="eastAsia"/>
          <w:sz w:val="32"/>
          <w:szCs w:val="32"/>
        </w:rPr>
        <w:t xml:space="preserve">根据岗位要求以及考试、体检、考察结果，确定拟聘用人员名单，并在厦门港口管理局网站公示7个工作日。公示内容包括招聘单位名称、招聘岗位、拟聘人员基本信息等。 </w:t>
      </w:r>
    </w:p>
    <w:p>
      <w:pPr>
        <w:spacing w:line="360" w:lineRule="auto"/>
        <w:rPr>
          <w:rFonts w:ascii="仿宋" w:eastAsia="仿宋"/>
          <w:b/>
          <w:bCs/>
          <w:sz w:val="32"/>
          <w:szCs w:val="32"/>
        </w:rPr>
      </w:pPr>
      <w:r>
        <w:rPr>
          <w:rFonts w:ascii="仿宋" w:eastAsia="仿宋" w:hint="eastAsia"/>
          <w:sz w:val="32"/>
          <w:szCs w:val="32"/>
        </w:rPr>
        <w:t xml:space="preserve">    </w:t>
      </w:r>
      <w:bookmarkStart w:id="48" w:name="_Toc46222493"/>
      <w:r>
        <w:rPr>
          <w:rFonts w:ascii="仿宋" w:eastAsia="仿宋" w:hint="eastAsia"/>
          <w:b/>
          <w:bCs/>
          <w:sz w:val="32"/>
          <w:szCs w:val="32"/>
        </w:rPr>
        <w:t>十二、聘用</w:t>
      </w:r>
      <w:bookmarkEnd w:id="48"/>
    </w:p>
    <w:p>
      <w:pPr>
        <w:spacing w:line="360" w:lineRule="auto"/>
        <w:ind w:firstLineChars="200" w:firstLine="640"/>
        <w:rPr>
          <w:rFonts w:ascii="仿宋" w:eastAsia="仿宋"/>
          <w:b/>
          <w:bCs/>
          <w:sz w:val="32"/>
          <w:szCs w:val="32"/>
        </w:rPr>
      </w:pPr>
      <w:r>
        <w:rPr>
          <w:rFonts w:ascii="仿宋" w:eastAsia="仿宋" w:hint="eastAsia"/>
          <w:b/>
          <w:bCs/>
          <w:sz w:val="32"/>
          <w:szCs w:val="32"/>
        </w:rPr>
        <w:t>（一）手续办理</w:t>
      </w:r>
    </w:p>
    <w:p>
      <w:pPr>
        <w:spacing w:line="360" w:lineRule="auto"/>
        <w:ind w:firstLineChars="200" w:firstLine="640"/>
        <w:rPr>
          <w:rFonts w:ascii="仿宋" w:eastAsia="仿宋"/>
          <w:sz w:val="32"/>
          <w:szCs w:val="32"/>
        </w:rPr>
      </w:pPr>
      <w:r>
        <w:rPr>
          <w:rFonts w:ascii="仿宋" w:eastAsia="仿宋" w:hint="eastAsia"/>
          <w:sz w:val="32"/>
          <w:szCs w:val="32"/>
        </w:rPr>
        <w:t>公示结果无异议，或经招聘单位会同主管部门核实不影响聘用的，拟聘人员应于公示期满后3个月内提供办理聘用手续所需的全部资料（含个人人事档案）。因情况确实特殊、无法在上述期限内提供完备资料的，与招聘单位及其主管部门协商同意并书面承诺后可适当延长资料提交时限（延长时限原则上不超过2个月），否则视为放弃聘用资格。</w:t>
      </w:r>
    </w:p>
    <w:p>
      <w:pPr>
        <w:spacing w:line="360" w:lineRule="auto"/>
        <w:ind w:firstLineChars="200" w:firstLine="640"/>
        <w:rPr>
          <w:rFonts w:ascii="仿宋" w:eastAsia="仿宋"/>
          <w:b/>
          <w:bCs/>
          <w:sz w:val="32"/>
          <w:szCs w:val="32"/>
        </w:rPr>
      </w:pPr>
      <w:r>
        <w:rPr>
          <w:rFonts w:ascii="仿宋" w:eastAsia="仿宋" w:hint="eastAsia"/>
          <w:b/>
          <w:bCs/>
          <w:sz w:val="32"/>
          <w:szCs w:val="32"/>
        </w:rPr>
        <w:t>（二）岗位聘任</w:t>
      </w:r>
    </w:p>
    <w:p>
      <w:pPr>
        <w:spacing w:line="360" w:lineRule="auto"/>
        <w:ind w:firstLineChars="200" w:firstLine="640"/>
        <w:rPr>
          <w:rFonts w:ascii="仿宋" w:eastAsia="仿宋"/>
          <w:sz w:val="32"/>
          <w:szCs w:val="32"/>
        </w:rPr>
      </w:pPr>
      <w:r>
        <w:rPr>
          <w:rFonts w:ascii="仿宋" w:eastAsia="仿宋" w:hint="eastAsia"/>
          <w:sz w:val="32"/>
          <w:szCs w:val="32"/>
        </w:rPr>
        <w:t xml:space="preserve">拟聘人员办理就业手续后，招聘单位应依据《事业单位人事管理条例》、《厦门市事业单位聘用制暂行规定》与拟聘人员签订《聘用合同》。 聘用人员的人员身份及工龄、工资、养老保险等待遇按照厦门市有关规定认定。 </w:t>
      </w:r>
    </w:p>
    <w:p>
      <w:pPr>
        <w:spacing w:line="360" w:lineRule="auto"/>
        <w:ind w:firstLineChars="200" w:firstLine="640"/>
        <w:rPr>
          <w:rFonts w:ascii="仿宋" w:eastAsia="仿宋"/>
          <w:sz w:val="32"/>
          <w:szCs w:val="32"/>
        </w:rPr>
      </w:pPr>
      <w:r>
        <w:rPr>
          <w:rFonts w:ascii="仿宋" w:eastAsia="仿宋" w:hint="eastAsia"/>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pPr>
        <w:spacing w:line="360" w:lineRule="auto"/>
        <w:ind w:firstLineChars="200" w:firstLine="640"/>
        <w:rPr>
          <w:rFonts w:ascii="仿宋" w:eastAsia="仿宋"/>
          <w:b/>
          <w:bCs/>
          <w:sz w:val="32"/>
          <w:szCs w:val="32"/>
        </w:rPr>
      </w:pPr>
      <w:bookmarkStart w:id="49" w:name="_Toc23363"/>
      <w:r>
        <w:rPr>
          <w:rFonts w:ascii="仿宋" w:eastAsia="仿宋" w:hint="eastAsia"/>
          <w:b/>
          <w:bCs/>
          <w:sz w:val="32"/>
          <w:szCs w:val="32"/>
        </w:rPr>
        <w:t>十三、其他事项</w:t>
      </w:r>
      <w:bookmarkEnd w:id="49"/>
    </w:p>
    <w:p>
      <w:pPr>
        <w:spacing w:line="360" w:lineRule="auto"/>
        <w:ind w:firstLineChars="200" w:firstLine="640"/>
        <w:rPr>
          <w:rFonts w:ascii="仿宋" w:eastAsia="仿宋"/>
          <w:b/>
          <w:bCs/>
          <w:sz w:val="32"/>
          <w:szCs w:val="32"/>
        </w:rPr>
      </w:pPr>
      <w:bookmarkStart w:id="50" w:name="_Toc20379"/>
      <w:r>
        <w:rPr>
          <w:rFonts w:ascii="仿宋" w:eastAsia="仿宋"/>
          <w:b/>
          <w:bCs/>
          <w:sz w:val="32"/>
          <w:szCs w:val="32"/>
        </w:rPr>
        <w:t>（一）</w:t>
      </w:r>
      <w:r>
        <w:rPr>
          <w:rFonts w:ascii="仿宋" w:eastAsia="仿宋" w:hint="eastAsia"/>
          <w:b/>
          <w:bCs/>
          <w:sz w:val="32"/>
          <w:szCs w:val="32"/>
        </w:rPr>
        <w:t>生源</w:t>
      </w:r>
      <w:bookmarkEnd w:id="50"/>
    </w:p>
    <w:p>
      <w:pPr>
        <w:spacing w:line="360" w:lineRule="auto"/>
        <w:ind w:firstLineChars="200" w:firstLine="640"/>
        <w:rPr>
          <w:rFonts w:ascii="仿宋" w:eastAsia="仿宋"/>
          <w:sz w:val="32"/>
          <w:szCs w:val="32"/>
        </w:rPr>
      </w:pPr>
      <w:r>
        <w:rPr>
          <w:rFonts w:ascii="仿宋" w:eastAsia="仿宋"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pPr>
        <w:spacing w:line="360" w:lineRule="auto"/>
        <w:ind w:firstLineChars="200" w:firstLine="640"/>
        <w:rPr>
          <w:rFonts w:ascii="仿宋" w:eastAsia="仿宋"/>
          <w:sz w:val="32"/>
          <w:szCs w:val="32"/>
        </w:rPr>
      </w:pPr>
      <w:r>
        <w:rPr>
          <w:rFonts w:ascii="仿宋" w:eastAsia="仿宋" w:hint="eastAsia"/>
          <w:sz w:val="32"/>
          <w:szCs w:val="32"/>
        </w:rPr>
        <w:t>1.入学前户籍在厦门市但学籍不在厦门市的普通教育全日制毕业生；</w:t>
      </w:r>
    </w:p>
    <w:p>
      <w:pPr>
        <w:spacing w:line="360" w:lineRule="auto"/>
        <w:ind w:firstLineChars="200" w:firstLine="640"/>
        <w:rPr>
          <w:rFonts w:ascii="仿宋" w:eastAsia="仿宋"/>
          <w:sz w:val="32"/>
          <w:szCs w:val="32"/>
        </w:rPr>
      </w:pPr>
      <w:r>
        <w:rPr>
          <w:rFonts w:ascii="仿宋" w:eastAsia="仿宋" w:hint="eastAsia"/>
          <w:sz w:val="32"/>
          <w:szCs w:val="32"/>
        </w:rPr>
        <w:t>2.入学前户籍和学籍虽不在厦门市，但本次公开招聘报名截止日前父母或配偶有一方户籍在厦门市的普通教育全日制2021年应届毕业生；</w:t>
      </w:r>
    </w:p>
    <w:p>
      <w:pPr>
        <w:spacing w:line="360" w:lineRule="auto"/>
        <w:ind w:firstLineChars="200" w:firstLine="640"/>
        <w:rPr>
          <w:rFonts w:ascii="仿宋" w:eastAsia="仿宋"/>
          <w:sz w:val="32"/>
          <w:szCs w:val="32"/>
        </w:rPr>
      </w:pPr>
      <w:r>
        <w:rPr>
          <w:rFonts w:ascii="仿宋" w:eastAsia="仿宋" w:hint="eastAsia"/>
          <w:sz w:val="32"/>
          <w:szCs w:val="32"/>
        </w:rPr>
        <w:t>3.根据厦府办〔2011〕229号文规定来我市就读普通高中且将户籍迁入我市的外来学生，普通高中毕业后从我市考入普通高等院校的全日制普通教育毕业生。</w:t>
      </w:r>
    </w:p>
    <w:p>
      <w:pPr>
        <w:spacing w:line="360" w:lineRule="auto"/>
        <w:ind w:firstLineChars="200" w:firstLine="640"/>
        <w:rPr>
          <w:rFonts w:ascii="仿宋" w:eastAsia="仿宋"/>
          <w:sz w:val="32"/>
          <w:szCs w:val="32"/>
        </w:rPr>
      </w:pPr>
      <w:r>
        <w:rPr>
          <w:rFonts w:ascii="仿宋" w:eastAsia="仿宋" w:hint="eastAsia"/>
          <w:sz w:val="32"/>
          <w:szCs w:val="32"/>
        </w:rPr>
        <w:t>福建生源类推界定。</w:t>
      </w:r>
    </w:p>
    <w:p>
      <w:pPr>
        <w:spacing w:line="360" w:lineRule="auto"/>
        <w:ind w:left="640"/>
        <w:rPr>
          <w:rFonts w:ascii="仿宋" w:eastAsia="仿宋"/>
          <w:b/>
          <w:bCs/>
          <w:sz w:val="32"/>
          <w:szCs w:val="32"/>
        </w:rPr>
      </w:pPr>
      <w:bookmarkStart w:id="51" w:name="_Toc3833"/>
      <w:r>
        <w:rPr>
          <w:rFonts w:ascii="仿宋" w:eastAsia="仿宋"/>
          <w:b/>
          <w:bCs/>
          <w:sz w:val="32"/>
          <w:szCs w:val="32"/>
        </w:rPr>
        <w:t>（二）</w:t>
      </w:r>
      <w:r>
        <w:rPr>
          <w:rFonts w:ascii="仿宋" w:eastAsia="仿宋" w:hint="eastAsia"/>
          <w:b/>
          <w:bCs/>
          <w:sz w:val="32"/>
          <w:szCs w:val="32"/>
        </w:rPr>
        <w:t>港澳台人员</w:t>
      </w:r>
      <w:bookmarkEnd w:id="51"/>
    </w:p>
    <w:p>
      <w:pPr>
        <w:spacing w:line="360" w:lineRule="auto"/>
        <w:ind w:firstLineChars="200" w:firstLine="640"/>
        <w:rPr>
          <w:rFonts w:ascii="仿宋" w:eastAsia="仿宋"/>
          <w:sz w:val="32"/>
          <w:szCs w:val="32"/>
        </w:rPr>
      </w:pPr>
      <w:r>
        <w:rPr>
          <w:rFonts w:ascii="仿宋" w:eastAsia="仿宋" w:hint="eastAsia"/>
          <w:sz w:val="32"/>
          <w:szCs w:val="32"/>
        </w:rPr>
        <w:t>港澳台人员（不得持有外国籍）的招聘，按照国家、省和我市有关规定办理。</w:t>
      </w:r>
    </w:p>
    <w:p>
      <w:pPr>
        <w:numPr>
          <w:ilvl w:val="0"/>
          <w:numId w:val="1"/>
        </w:numPr>
        <w:spacing w:line="360" w:lineRule="auto"/>
        <w:ind w:left="0" w:firstLineChars="200" w:firstLine="640"/>
        <w:rPr>
          <w:rFonts w:ascii="仿宋" w:eastAsia="仿宋" w:hint="eastAsia"/>
          <w:b/>
          <w:bCs/>
          <w:sz w:val="32"/>
          <w:szCs w:val="32"/>
        </w:rPr>
      </w:pPr>
      <w:r>
        <w:rPr>
          <w:rFonts w:ascii="仿宋" w:eastAsia="仿宋" w:hint="eastAsia"/>
          <w:b/>
          <w:bCs/>
          <w:sz w:val="32"/>
          <w:szCs w:val="32"/>
        </w:rPr>
        <w:t>技工院校毕业生</w:t>
      </w:r>
    </w:p>
    <w:p>
      <w:pPr>
        <w:spacing w:line="360" w:lineRule="auto"/>
        <w:ind w:firstLineChars="200" w:firstLine="640"/>
        <w:rPr>
          <w:rFonts w:ascii="仿宋" w:eastAsia="仿宋"/>
          <w:b/>
          <w:bCs/>
          <w:sz w:val="32"/>
          <w:szCs w:val="32"/>
        </w:rPr>
      </w:pPr>
      <w:r>
        <w:rPr>
          <w:rFonts w:ascii="仿宋" w:eastAsia="仿宋" w:hint="eastAsia"/>
          <w:sz w:val="32"/>
          <w:szCs w:val="32"/>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spacing w:line="360" w:lineRule="auto"/>
        <w:rPr>
          <w:rFonts w:ascii="仿宋" w:eastAsia="仿宋"/>
          <w:b/>
          <w:bCs/>
          <w:sz w:val="32"/>
          <w:szCs w:val="32"/>
        </w:rPr>
      </w:pPr>
      <w:r>
        <w:rPr>
          <w:rFonts w:ascii="仿宋" w:eastAsia="仿宋" w:hint="eastAsia"/>
          <w:sz w:val="32"/>
          <w:szCs w:val="32"/>
        </w:rPr>
        <w:t xml:space="preserve"> </w:t>
      </w:r>
      <w:bookmarkStart w:id="52" w:name="_Toc29924"/>
      <w:bookmarkStart w:id="53" w:name="_Toc2095"/>
      <w:bookmarkStart w:id="54" w:name="_Toc2460"/>
      <w:bookmarkStart w:id="55" w:name="_Toc4655"/>
      <w:bookmarkStart w:id="56" w:name="_Toc17496"/>
      <w:bookmarkStart w:id="57" w:name="_Toc31670"/>
      <w:bookmarkStart w:id="58" w:name="_Toc46222495"/>
      <w:r>
        <w:rPr>
          <w:rFonts w:ascii="仿宋" w:eastAsia="仿宋"/>
          <w:sz w:val="32"/>
          <w:szCs w:val="32"/>
        </w:rPr>
        <w:t xml:space="preserve">   </w:t>
      </w:r>
      <w:r>
        <w:rPr>
          <w:rFonts w:ascii="仿宋" w:eastAsia="仿宋"/>
          <w:b/>
          <w:bCs/>
          <w:sz w:val="32"/>
          <w:szCs w:val="32"/>
        </w:rPr>
        <w:t xml:space="preserve"> </w:t>
      </w:r>
      <w:r>
        <w:rPr>
          <w:rFonts w:ascii="仿宋" w:eastAsia="仿宋" w:hint="eastAsia"/>
          <w:b/>
          <w:bCs/>
          <w:sz w:val="32"/>
          <w:szCs w:val="32"/>
        </w:rPr>
        <w:t>十四、疫情防控要求</w:t>
      </w:r>
      <w:bookmarkEnd w:id="52"/>
      <w:bookmarkEnd w:id="53"/>
      <w:bookmarkEnd w:id="54"/>
      <w:bookmarkEnd w:id="55"/>
      <w:bookmarkEnd w:id="56"/>
      <w:bookmarkEnd w:id="57"/>
      <w:bookmarkEnd w:id="58"/>
    </w:p>
    <w:p>
      <w:pPr>
        <w:spacing w:line="360" w:lineRule="auto"/>
        <w:ind w:firstLineChars="200" w:firstLine="640"/>
        <w:rPr>
          <w:rFonts w:eastAsia="仿宋"/>
          <w:sz w:val="32"/>
          <w:szCs w:val="32"/>
        </w:rPr>
      </w:pPr>
      <w:r>
        <w:rPr>
          <w:rFonts w:ascii="仿宋" w:eastAsia="仿宋" w:hint="eastAsia"/>
          <w:sz w:val="32"/>
          <w:szCs w:val="32"/>
        </w:rPr>
        <w:t>本次招聘将严格按照厦门市应对新冠肺炎疫情工作指挥部部署，严密落实常态化疫情防控要求，4月上中旬将根据疫情形势发展确定需提供新冠核酸检测报告的报考者范围，发布笔试工作提醒。考生笔试当天应填写《</w:t>
      </w:r>
      <w:r>
        <w:rPr>
          <w:rFonts w:ascii="仿宋" w:eastAsia="仿宋"/>
          <w:sz w:val="32"/>
          <w:szCs w:val="32"/>
        </w:rPr>
        <w:t>考生</w:t>
      </w:r>
      <w:r>
        <w:rPr>
          <w:rFonts w:ascii="仿宋" w:eastAsia="仿宋" w:hint="eastAsia"/>
          <w:sz w:val="32"/>
          <w:szCs w:val="32"/>
        </w:rPr>
        <w:t>健康申明</w:t>
      </w:r>
      <w:r>
        <w:rPr>
          <w:rFonts w:ascii="仿宋" w:eastAsia="仿宋"/>
          <w:sz w:val="32"/>
          <w:szCs w:val="32"/>
        </w:rPr>
        <w:t>卡</w:t>
      </w:r>
      <w:r>
        <w:rPr>
          <w:rFonts w:ascii="仿宋" w:eastAsia="仿宋" w:hint="eastAsia"/>
          <w:sz w:val="32"/>
          <w:szCs w:val="32"/>
        </w:rPr>
        <w:t>及安全考试承诺书》（可在简章中下载），</w:t>
      </w:r>
      <w:r>
        <w:rPr>
          <w:rFonts w:ascii="仿宋" w:eastAsia="仿宋"/>
          <w:sz w:val="32"/>
          <w:szCs w:val="32"/>
        </w:rPr>
        <w:t>并</w:t>
      </w:r>
      <w:r>
        <w:rPr>
          <w:rFonts w:ascii="仿宋" w:eastAsia="仿宋" w:hint="eastAsia"/>
          <w:sz w:val="32"/>
          <w:szCs w:val="32"/>
        </w:rPr>
        <w:t>按要求佩戴口罩，进入考点核验身份、出示八闽健康码（请提前下载安装闽政通APP）和接受体温检测，“八闽健康码”为绿码者方可参加考试。体温检测37.3℃及以上者，根据实际情况按有关防疫要求处理。不配合考试现场防疫要求者或未能按时参加考试相关环节者，视为自动放弃本次考试资格。</w:t>
      </w:r>
      <w:r>
        <w:rPr>
          <w:rFonts w:eastAsia="仿宋"/>
          <w:sz w:val="32"/>
          <w:szCs w:val="32"/>
        </w:rPr>
        <w:t> </w:t>
      </w:r>
    </w:p>
    <w:sectPr>
      <w:footerReference w:type="default" r:id="rId3"/>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pPr>
    <w:r>
      <mc:AlternateContent>
        <mc:Choice Requires="wps">
          <w:drawing>
            <wp:anchor distT="0" distB="0" distL="114297" distR="114297" simplePos="0" relativeHeight="11" behindDoc="0" locked="0" layoutInCell="1" hidden="0" allowOverlap="1">
              <wp:simplePos x="0" y="0"/>
              <wp:positionH relativeFrom="margin">
                <wp:align>center</wp:align>
              </wp:positionH>
              <wp:positionV relativeFrom="paragraph">
                <wp:posOffset>0</wp:posOffset>
              </wp:positionV>
              <wp:extent cx="57785" cy="287654"/>
              <wp:effectExtent l="0" t="0" r="0" b="0"/>
              <wp:wrapNone/>
              <wp:docPr id="1" name="矩形 1"/>
              <wp:cNvGraphicFramePr>
                <a:graphicFrameLocks noChangeAspect="0"/>
              </wp:cNvGraphicFramePr>
              <a:graphic>
                <a:graphicData uri="http://schemas.microsoft.com/office/word/2010/wordprocessingShape">
                  <wps:wsp>
                    <wps:cNvSpPr/>
                    <wps:spPr>
                      <a:xfrm rot="0">
                        <a:off x="0" y="0"/>
                        <a:ext cx="57785" cy="287654"/>
                      </a:xfrm>
                      <a:prstGeom prst="rect"/>
                      <a:noFill/>
                      <a:ln w="9525" cmpd="sng" cap="flat">
                        <a:noFill/>
                        <a:prstDash val="solid"/>
                        <a:miter/>
                      </a:ln>
                    </wps:spPr>
                    <wps:txbx id="2">
                      <w:txbxContent>
                        <w:p>
                          <w:pPr>
                            <w:pStyle w:val="1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矩形 3" o:spid="_x0000_s3" filled="f" stroked="f" style="position:absolute;&#13;&#10;margin-left:0.0pt;&#13;&#10;margin-top:0.0pt;&#13;&#10;width:4.55pt;&#13;&#10;height:22.65pt;&#13;&#10;z-index:11;&#13;&#10;mso-position-horizontal:center;&#13;&#10;mso-position-horizontal-relative:margin;&#13;&#10;mso-position-vertical:absolute;&#13;&#10;mso-wrap-distance-left:8.99983pt;&#13;&#10;mso-wrap-distance-right:8.99983pt;&#13;&#10;mso-wrap-style:none;">
              <v:stroke color="000000"/>
              <v:textbox id="848" inset="0mm,0mm,0mm,0mm" o:insetmode="custom" style="layout-flow:horizontal;&#13;&#10;v-text-anchor:top;&#13;&#10;mso-fit-shape-to-text:t;">
                <w:txbxContent>
                  <w:p>
                    <w:pPr>
                      <w:pStyle w:val="1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9"/>
      <w:tabs>
        <w:tab w:val="center" w:pos="4153"/>
        <w:tab w:val="right" w:pos="8306"/>
      </w:tabs>
      <w:jc w:val="center"/>
    </w:pPr>
    <w:r>
      <mc:AlternateContent>
        <mc:Choice Requires="wps">
          <w:drawing>
            <wp:anchor distT="0" distB="0" distL="114297" distR="114297" simplePos="0" relativeHeight="12" behindDoc="0" locked="0" layoutInCell="1" hidden="0" allowOverlap="1">
              <wp:simplePos x="0" y="0"/>
              <wp:positionH relativeFrom="margin">
                <wp:align>center</wp:align>
              </wp:positionH>
              <wp:positionV relativeFrom="paragraph">
                <wp:posOffset>0</wp:posOffset>
              </wp:positionV>
              <wp:extent cx="115900" cy="610945"/>
              <wp:effectExtent l="0" t="0" r="0" b="0"/>
              <wp:wrapNone/>
              <wp:docPr id="4" name="矩形 4"/>
              <wp:cNvGraphicFramePr>
                <a:graphicFrameLocks noChangeAspect="0"/>
              </wp:cNvGraphicFramePr>
              <a:graphic>
                <a:graphicData uri="http://schemas.microsoft.com/office/word/2010/wordprocessingShape">
                  <wps:wsp>
                    <wps:cNvSpPr/>
                    <wps:spPr>
                      <a:xfrm rot="0">
                        <a:off x="0" y="0"/>
                        <a:ext cx="115900" cy="610945"/>
                      </a:xfrm>
                      <a:prstGeom prst="rect"/>
                      <a:noFill/>
                      <a:ln w="9525" cmpd="sng" cap="flat">
                        <a:noFill/>
                        <a:prstDash val="solid"/>
                        <a:miter/>
                      </a:ln>
                    </wps:spPr>
                    <wps:txbx id="5">
                      <w:txbxContent>
                        <w:p>
                          <w:pPr>
                            <w:pStyle w:val="19"/>
                            <w:tabs>
                              <w:tab w:val="center" w:pos="4153"/>
                              <w:tab w:val="right" w:pos="8306"/>
                            </w:tabs>
                            <w:jc w:val="center"/>
                          </w:pPr>
                          <w:r>
                            <w:fldChar w:fldCharType="begin"/>
                          </w:r>
                          <w:r>
                            <w:instrText xml:space="preserve"> PAGE   \* MERGEFORMAT </w:instrText>
                          </w:r>
                          <w:r>
                            <w:fldChar w:fldCharType="separate"/>
                          </w:r>
                          <w:r>
                            <w:rPr>
                              <w:lang w:val="zh-CN"/>
                            </w:rPr>
                            <w:t>23</w:t>
                          </w:r>
                          <w:r>
                            <w:rPr>
                              <w:lang w:val="zh-CN"/>
                            </w:rPr>
                            <w:fldChar w:fldCharType="end"/>
                          </w:r>
                        </w:p>
                        <w:p/>
                      </w:txbxContent>
                    </wps:txbx>
                    <wps:bodyPr vert="horz" wrap="none" lIns="0" tIns="0" rIns="0" bIns="0" anchor="t" anchorCtr="0" upright="1">
                      <a:spAutoFit/>
                    </wps:bodyPr>
                  </wps:wsp>
                </a:graphicData>
              </a:graphic>
            </wp:anchor>
          </w:drawing>
        </mc:Choice>
        <mc:Fallback>
          <w:pict>
            <v:rect type="#_x0000_t1" id="矩形 6" o:spid="_x0000_s6" filled="f" stroked="f" style="position:absolute;&#13;&#10;margin-left:0.0pt;&#13;&#10;margin-top:0.0pt;&#13;&#10;width:9.125998pt;&#13;&#10;height:48.105972pt;&#13;&#10;z-index:12;&#13;&#10;mso-position-horizontal:center;&#13;&#10;mso-position-horizontal-relative:margin;&#13;&#10;mso-position-vertical:absolute;&#13;&#10;mso-wrap-distance-left:8.99983pt;&#13;&#10;mso-wrap-distance-right:8.99983pt;&#13;&#10;mso-wrap-style:none;">
              <v:stroke color="000000"/>
              <v:textbox id="849" inset="0mm,0mm,0mm,0mm" o:insetmode="custom" style="layout-flow:horizontal;&#13;&#10;v-text-anchor:top;&#13;&#10;mso-fit-shape-to-text:t;">
                <w:txbxContent>
                  <w:p>
                    <w:pPr>
                      <w:pStyle w:val="19"/>
                      <w:tabs>
                        <w:tab w:val="center" w:pos="4153"/>
                        <w:tab w:val="right" w:pos="8306"/>
                      </w:tabs>
                      <w:jc w:val="center"/>
                    </w:pPr>
                    <w:r>
                      <w:fldChar w:fldCharType="begin"/>
                    </w:r>
                    <w:r>
                      <w:instrText xml:space="preserve"> PAGE   \* MERGEFORMAT </w:instrText>
                    </w:r>
                    <w:r>
                      <w:fldChar w:fldCharType="separate"/>
                    </w:r>
                    <w:r>
                      <w:rPr>
                        <w:lang w:val="zh-CN"/>
                      </w:rPr>
                      <w:t>23</w:t>
                    </w:r>
                    <w:r>
                      <w:rPr>
                        <w:lang w:val="zh-CN"/>
                      </w:rPr>
                      <w:fldChar w:fldCharType="end"/>
                    </w:r>
                  </w:p>
                  <w:p/>
                </w:txbxContent>
              </v:textbox>
            </v:rect>
          </w:pict>
        </mc:Fallback>
      </mc:AlternateContent>
    </w:r>
  </w:p>
  <w:p>
    <w:pPr>
      <w:pStyle w:val="19"/>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B76CF1B"/>
    <w:multiLevelType w:val="singleLevel"/>
    <w:tmpl w:val="EB76CF1B"/>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宋体" w:cs="Arial" w:hAnsi="Calibri"/>
      <w:sz w:val="22"/>
      <w:szCs w:val="22"/>
      <w:lang w:val="en-US" w:eastAsia="zh-CN" w:bidi="ar-SA"/>
    </w:rPr>
  </w:style>
  <w:style w:type="paragraph" w:styleId="1">
    <w:name w:val="heading 1"/>
    <w:basedOn w:val="0"/>
    <w:next w:val="0"/>
    <w:pPr>
      <w:keepNext/>
      <w:keepLines/>
      <w:spacing w:before="480" w:after="0"/>
      <w:outlineLvl w:val="0"/>
    </w:pPr>
    <w:rPr>
      <w:rFonts w:ascii="Cambria" w:cs="Times New Roman" w:hAnsi="Cambria"/>
      <w:b/>
      <w:bCs/>
      <w:color w:val="365F91"/>
      <w:sz w:val="28"/>
      <w:szCs w:val="28"/>
    </w:rPr>
  </w:style>
  <w:style w:type="paragraph" w:styleId="2">
    <w:name w:val="heading 2"/>
    <w:basedOn w:val="0"/>
    <w:next w:val="0"/>
    <w:pPr>
      <w:keepNext/>
      <w:keepLines/>
      <w:spacing w:before="200" w:after="0"/>
      <w:outlineLvl w:val="1"/>
    </w:pPr>
    <w:rPr>
      <w:rFonts w:ascii="Cambria" w:cs="Times New Roman" w:hAnsi="Cambria"/>
      <w:b/>
      <w:bCs/>
      <w:color w:val="4F81BD"/>
      <w:sz w:val="26"/>
      <w:szCs w:val="26"/>
    </w:rPr>
  </w:style>
  <w:style w:type="paragraph" w:styleId="3">
    <w:name w:val="heading 3"/>
    <w:basedOn w:val="0"/>
    <w:next w:val="0"/>
    <w:pPr>
      <w:keepNext/>
      <w:keepLines/>
      <w:spacing w:before="200" w:after="0"/>
      <w:outlineLvl w:val="2"/>
    </w:pPr>
    <w:rPr>
      <w:rFonts w:ascii="Cambria" w:cs="Times New Roman" w:hAnsi="Cambria"/>
      <w:b/>
      <w:bCs/>
      <w:color w:val="4F81BD"/>
    </w:rPr>
  </w:style>
  <w:style w:type="paragraph" w:styleId="4">
    <w:name w:val="heading 4"/>
    <w:basedOn w:val="0"/>
    <w:next w:val="0"/>
    <w:pPr>
      <w:keepNext/>
      <w:keepLines/>
      <w:spacing w:before="200" w:after="0"/>
      <w:outlineLvl w:val="3"/>
    </w:pPr>
    <w:rPr>
      <w:rFonts w:ascii="Cambria" w:cs="Times New Roman" w:hAnsi="Cambria"/>
      <w:b/>
      <w:bCs/>
      <w:i/>
      <w:iCs/>
      <w:color w:val="4F81BD"/>
    </w:rPr>
  </w:style>
  <w:style w:type="paragraph" w:styleId="5">
    <w:name w:val="heading 5"/>
    <w:basedOn w:val="0"/>
    <w:next w:val="0"/>
    <w:pPr>
      <w:keepNext/>
      <w:keepLines/>
      <w:spacing w:before="200" w:after="0"/>
      <w:outlineLvl w:val="4"/>
    </w:pPr>
    <w:rPr>
      <w:rFonts w:ascii="Cambria" w:cs="Times New Roman" w:hAnsi="Cambria"/>
      <w:color w:val="244061"/>
    </w:rPr>
  </w:style>
  <w:style w:type="paragraph" w:styleId="6">
    <w:name w:val="heading 6"/>
    <w:basedOn w:val="0"/>
    <w:next w:val="0"/>
    <w:pPr>
      <w:keepNext/>
      <w:keepLines/>
      <w:spacing w:before="200" w:after="0"/>
      <w:outlineLvl w:val="5"/>
    </w:pPr>
    <w:rPr>
      <w:rFonts w:ascii="Cambria" w:cs="Times New Roman" w:hAnsi="Cambria"/>
      <w:i/>
      <w:iCs/>
      <w:color w:val="244061"/>
    </w:rPr>
  </w:style>
  <w:style w:type="paragraph" w:styleId="7">
    <w:name w:val="heading 7"/>
    <w:basedOn w:val="0"/>
    <w:next w:val="0"/>
    <w:pPr>
      <w:keepNext/>
      <w:keepLines/>
      <w:spacing w:before="200" w:after="0"/>
      <w:outlineLvl w:val="6"/>
    </w:pPr>
    <w:rPr>
      <w:rFonts w:ascii="Cambria" w:cs="Times New Roman" w:hAnsi="Cambria"/>
      <w:i/>
      <w:iCs/>
      <w:color w:val="404040"/>
    </w:rPr>
  </w:style>
  <w:style w:type="paragraph" w:styleId="8">
    <w:name w:val="heading 8"/>
    <w:basedOn w:val="0"/>
    <w:next w:val="0"/>
    <w:pPr>
      <w:keepNext/>
      <w:keepLines/>
      <w:spacing w:before="200" w:after="0"/>
      <w:outlineLvl w:val="7"/>
    </w:pPr>
    <w:rPr>
      <w:rFonts w:ascii="Cambria" w:cs="Times New Roman" w:hAnsi="Cambria"/>
      <w:color w:val="4F81BD"/>
      <w:sz w:val="20"/>
      <w:szCs w:val="20"/>
    </w:rPr>
  </w:style>
  <w:style w:type="paragraph" w:styleId="9">
    <w:name w:val="heading 9"/>
    <w:basedOn w:val="0"/>
    <w:next w:val="0"/>
    <w:pPr>
      <w:keepNext/>
      <w:keepLines/>
      <w:spacing w:before="200" w:after="0"/>
      <w:outlineLvl w:val="8"/>
    </w:pPr>
    <w:rPr>
      <w:rFonts w:ascii="Cambria" w:cs="Times New Roman" w:hAnsi="Cambria"/>
      <w:i/>
      <w:iCs/>
      <w:color w:val="404040"/>
      <w:sz w:val="20"/>
      <w:szCs w:val="20"/>
    </w:rPr>
  </w:style>
  <w:style w:type="character" w:default="1" w:styleId="10">
    <w:name w:val="Default Paragraph Font"/>
  </w:style>
  <w:style w:type="paragraph" w:styleId="15">
    <w:name w:val="caption"/>
    <w:basedOn w:val="0"/>
    <w:next w:val="0"/>
    <w:pPr>
      <w:spacing w:line="240" w:lineRule="auto"/>
    </w:pPr>
    <w:rPr>
      <w:b/>
      <w:bCs/>
      <w:color w:val="4F81BD"/>
      <w:sz w:val="18"/>
      <w:szCs w:val="18"/>
    </w:rPr>
  </w:style>
  <w:style w:type="paragraph" w:styleId="16">
    <w:name w:val="annotation text"/>
    <w:basedOn w:val="0"/>
  </w:style>
  <w:style w:type="paragraph" w:styleId="17">
    <w:name w:val="toc 3"/>
    <w:basedOn w:val="0"/>
    <w:next w:val="0"/>
    <w:pPr>
      <w:spacing w:after="100" w:line="259" w:lineRule="auto"/>
      <w:ind w:left="440"/>
    </w:pPr>
    <w:rPr>
      <w:rFonts w:cs="Times New Roman"/>
    </w:rPr>
  </w:style>
  <w:style w:type="paragraph" w:styleId="18">
    <w:name w:val="Balloon Text"/>
    <w:basedOn w:val="0"/>
    <w:rPr>
      <w:sz w:val="18"/>
      <w:szCs w:val="18"/>
    </w:rPr>
  </w:style>
  <w:style w:type="paragraph" w:styleId="19">
    <w:name w:val="footer"/>
    <w:basedOn w:val="0"/>
    <w:pPr>
      <w:tabs>
        <w:tab w:val="center" w:pos="4153"/>
        <w:tab w:val="right" w:pos="8306"/>
      </w:tabs>
      <w:snapToGrid w:val="0"/>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toc 1"/>
    <w:basedOn w:val="0"/>
    <w:next w:val="0"/>
    <w:pPr>
      <w:spacing w:after="100" w:line="259" w:lineRule="auto"/>
    </w:pPr>
    <w:rPr>
      <w:rFonts w:cs="Times New Roman"/>
    </w:rPr>
  </w:style>
  <w:style w:type="paragraph" w:styleId="22">
    <w:name w:val="Subtitle"/>
    <w:basedOn w:val="0"/>
    <w:next w:val="0"/>
    <w:rPr>
      <w:rFonts w:ascii="Cambria" w:cs="Times New Roman" w:hAnsi="Cambria"/>
      <w:i/>
      <w:iCs/>
      <w:color w:val="4F81BD"/>
      <w:spacing w:val="15"/>
      <w:sz w:val="24"/>
      <w:szCs w:val="24"/>
    </w:rPr>
  </w:style>
  <w:style w:type="paragraph" w:styleId="23">
    <w:name w:val="toc 2"/>
    <w:next w:val="0"/>
    <w:pPr>
      <w:widowControl w:val="0"/>
      <w:ind w:leftChars="200" w:left="200"/>
      <w:jc w:val="both"/>
    </w:pPr>
    <w:rPr>
      <w:rFonts w:ascii="Calibri" w:eastAsia="宋体" w:cs="Times New Roman" w:hAnsi="Calibri"/>
      <w:kern w:val="2"/>
      <w:sz w:val="21"/>
      <w:szCs w:val="22"/>
      <w:lang w:val="en-US" w:eastAsia="zh-CN" w:bidi="ar-SA"/>
    </w:rPr>
  </w:style>
  <w:style w:type="paragraph" w:styleId="24">
    <w:name w:val="Normal (Web)"/>
    <w:basedOn w:val="0"/>
    <w:pPr>
      <w:spacing w:before="100" w:beforeAutospacing="1" w:after="100" w:afterAutospacing="1"/>
    </w:pPr>
    <w:rPr>
      <w:rFonts w:ascii="宋体" w:cs="宋体"/>
      <w:sz w:val="24"/>
      <w:szCs w:val="24"/>
    </w:rPr>
  </w:style>
  <w:style w:type="paragraph" w:styleId="25">
    <w:name w:val="Title"/>
    <w:basedOn w:val="0"/>
    <w:next w:val="0"/>
    <w:pPr>
      <w:pBdr>
        <w:bottom w:val="single" w:sz="8" w:space="4" w:color="4F81BD"/>
      </w:pBdr>
      <w:spacing w:after="300" w:line="240" w:lineRule="auto"/>
      <w:contextualSpacing/>
    </w:pPr>
    <w:rPr>
      <w:rFonts w:ascii="Cambria" w:cs="Times New Roman" w:hAnsi="Cambria"/>
      <w:color w:val="17365D"/>
      <w:spacing w:val="5"/>
      <w:sz w:val="52"/>
      <w:szCs w:val="52"/>
    </w:rPr>
  </w:style>
  <w:style w:type="paragraph" w:styleId="26">
    <w:name w:val="annotation subject"/>
    <w:basedOn w:val="16"/>
    <w:next w:val="16"/>
    <w:rPr>
      <w:b/>
      <w:bCs/>
    </w:rPr>
  </w:style>
  <w:style w:type="character" w:styleId="27">
    <w:name w:val="Strong"/>
    <w:basedOn w:val="10"/>
    <w:rPr>
      <w:b/>
      <w:bCs/>
    </w:rPr>
  </w:style>
  <w:style w:type="character" w:styleId="28">
    <w:name w:val="Emphasis"/>
    <w:basedOn w:val="10"/>
    <w:rPr>
      <w:i/>
      <w:iCs/>
    </w:rPr>
  </w:style>
  <w:style w:type="character" w:styleId="29">
    <w:name w:val="Hyperlink"/>
    <w:rPr>
      <w:color w:val="0000FF"/>
      <w:u w:val="single"/>
    </w:rPr>
  </w:style>
  <w:style w:type="character" w:styleId="30">
    <w:name w:val="annotation reference"/>
    <w:basedOn w:val="10"/>
    <w:rPr>
      <w:sz w:val="21"/>
      <w:szCs w:val="21"/>
    </w:rPr>
  </w:style>
  <w:style w:type="paragraph" w:customStyle="1" w:styleId="31">
    <w:name w:val="WPSOffice手动目录 1"/>
    <w:pPr>
      <w:spacing w:after="200" w:line="276" w:lineRule="auto"/>
    </w:pPr>
    <w:rPr>
      <w:rFonts w:ascii="Calibri" w:eastAsia="宋体" w:cs="Arial" w:hAnsi="Calibri"/>
      <w:sz w:val="22"/>
      <w:szCs w:val="22"/>
      <w:lang w:val="en-US" w:eastAsia="zh-CN" w:bidi="ar-SA"/>
    </w:rPr>
  </w:style>
  <w:style w:type="paragraph" w:customStyle="1" w:styleId="32">
    <w:name w:val="WPSOffice手动目录 2"/>
    <w:pPr>
      <w:spacing w:after="200" w:line="276" w:lineRule="auto"/>
      <w:ind w:leftChars="200" w:left="200"/>
    </w:pPr>
    <w:rPr>
      <w:rFonts w:ascii="Calibri" w:eastAsia="宋体" w:cs="Arial" w:hAnsi="Calibri"/>
      <w:sz w:val="22"/>
      <w:szCs w:val="22"/>
      <w:lang w:val="en-US" w:eastAsia="zh-CN" w:bidi="ar-SA"/>
    </w:rPr>
  </w:style>
  <w:style w:type="character" w:customStyle="1" w:styleId="33">
    <w:name w:val="未处理的提及1"/>
    <w:basedOn w:val="10"/>
    <w:rPr>
      <w:color w:val="605E5C"/>
      <w:shd w:val="clear" w:color="auto" w:fill="E1DFDD"/>
    </w:rPr>
  </w:style>
  <w:style w:type="paragraph" w:customStyle="1" w:styleId="34">
    <w:name w:val="TOC 标题1"/>
    <w:basedOn w:val="1"/>
    <w:next w:val="0"/>
    <w:pPr>
      <w:outlineLvl w:val="9"/>
    </w:pPr>
  </w:style>
  <w:style w:type="paragraph" w:customStyle="1" w:styleId="35">
    <w:name w:val="无间隔1"/>
    <w:rPr>
      <w:rFonts w:ascii="Calibri" w:eastAsia="宋体" w:cs="Arial" w:hAnsi="Calibri"/>
      <w:sz w:val="22"/>
      <w:szCs w:val="22"/>
      <w:lang w:val="en-US" w:eastAsia="zh-CN" w:bidi="ar-SA"/>
    </w:rPr>
  </w:style>
  <w:style w:type="paragraph" w:customStyle="1" w:styleId="36">
    <w:name w:val="引用1"/>
    <w:basedOn w:val="0"/>
    <w:next w:val="0"/>
    <w:rPr>
      <w:i/>
      <w:iCs/>
      <w:color w:val="000000"/>
    </w:rPr>
  </w:style>
  <w:style w:type="paragraph" w:customStyle="1" w:styleId="37">
    <w:name w:val="明显引用1"/>
    <w:basedOn w:val="0"/>
    <w:next w:val="0"/>
    <w:pPr>
      <w:pBdr>
        <w:bottom w:val="single" w:sz="4" w:space="4" w:color="4F81BD"/>
      </w:pBdr>
      <w:spacing w:before="200" w:after="280"/>
      <w:ind w:left="936" w:right="936"/>
    </w:pPr>
    <w:rPr>
      <w:b/>
      <w:bCs/>
      <w:i/>
      <w:iCs/>
      <w:color w:val="4F81BD"/>
    </w:rPr>
  </w:style>
  <w:style w:type="character" w:customStyle="1" w:styleId="38">
    <w:name w:val="不明显强调1"/>
    <w:basedOn w:val="10"/>
    <w:rPr>
      <w:i/>
      <w:iCs/>
      <w:color w:val="7F7F7F"/>
    </w:rPr>
  </w:style>
  <w:style w:type="character" w:customStyle="1" w:styleId="39">
    <w:name w:val="明显强调1"/>
    <w:basedOn w:val="10"/>
    <w:rPr>
      <w:b/>
      <w:bCs/>
      <w:i/>
      <w:iCs/>
      <w:color w:val="4F81BD"/>
    </w:rPr>
  </w:style>
  <w:style w:type="character" w:customStyle="1" w:styleId="40">
    <w:name w:val="不明显参考1"/>
    <w:basedOn w:val="10"/>
    <w:rPr>
      <w:caps w:val="0"/>
      <w:smallCaps/>
      <w:color w:val="C0504D"/>
      <w:u w:val="single"/>
    </w:rPr>
  </w:style>
  <w:style w:type="character" w:customStyle="1" w:styleId="41">
    <w:name w:val="明显参考1"/>
    <w:basedOn w:val="10"/>
    <w:rPr>
      <w:b/>
      <w:bCs/>
      <w:caps w:val="0"/>
      <w:smallCaps/>
      <w:color w:val="C0504D"/>
      <w:spacing w:val="5"/>
      <w:u w:val="single"/>
    </w:rPr>
  </w:style>
  <w:style w:type="character" w:customStyle="1" w:styleId="42">
    <w:name w:val="书籍标题1"/>
    <w:basedOn w:val="10"/>
    <w:rPr>
      <w:b/>
      <w:bCs/>
      <w:caps w:val="0"/>
      <w:smallCaps/>
      <w:spacing w:val="5"/>
    </w:rPr>
  </w:style>
  <w:style w:type="paragraph" w:customStyle="1" w:styleId="43">
    <w:name w:val="列表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45</TotalTime>
  <Application>Yozo_Office</Application>
  <Pages>22</Pages>
  <Words>7755</Words>
  <Characters>8105</Characters>
  <Lines>422</Lines>
  <Paragraphs>207</Paragraphs>
  <CharactersWithSpaces>8212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Microsoft</cp:lastModifiedBy>
  <cp:revision>12</cp:revision>
  <cp:lastPrinted>2021-03-24T01:01:06Z</cp:lastPrinted>
  <dcterms:created xsi:type="dcterms:W3CDTF">2021-03-18T11:40:00Z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