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4596"/>
        <w:gridCol w:w="132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</w:t>
            </w:r>
          </w:p>
        </w:tc>
        <w:tc>
          <w:tcPr>
            <w:tcW w:w="4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需求专业及其他要求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师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航空宇航制造类、航空机电类或航空电子类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飞行器设计、飞机总体设计或空中交通规划与管理及相关相近专业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航空发动机制造或装试技术及相关相近专业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机械制造与自动化及相关相近专业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工业机器人技术及相关相近专业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计算机类（大数据、人工智能或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影视动画方向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新能源汽车技术或汽车运用与维修及相关相近专业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机场运行及相关相近专业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思想政治教育、哲学或历史专业（中共党员）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人文社科思政类、艺术类或学校开设专业大类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（中共党员）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艺术类（美术或舞蹈方向）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体育教育或运动训练专业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机械工程专业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66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768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   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9"/>
          <w:szCs w:val="19"/>
        </w:rPr>
        <w:t>注：应聘人员最高学历为硕士研究生的，本科学历应为统招全日制普通本科毕业。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87828"/>
    <w:rsid w:val="084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2021-04-07T05:57:00Z</dcterms:created>
  <dc:creator>ぺ灬cc果冻ル</dc:creator>
  <cp:lastModifiedBy>ぺ灬cc果冻ル</cp:lastModifiedBy>
  <dcterms:modified xsi:type="dcterms:W3CDTF">2021-04-07T05:58:33Z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