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iCs w:val="0"/>
          <w:caps w:val="0"/>
          <w:color w:val="282828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30"/>
          <w:szCs w:val="30"/>
          <w:bdr w:val="none" w:color="auto" w:sz="0" w:space="0"/>
          <w:shd w:val="clear" w:fill="FFFFFF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0"/>
          <w:szCs w:val="30"/>
          <w:bdr w:val="none" w:color="auto" w:sz="0" w:space="0"/>
          <w:shd w:val="clear" w:fill="FFFFFF"/>
        </w:rPr>
        <w:t>年度引进的博士及人才除享受基本工资待遇</w:t>
      </w:r>
      <w:bookmarkStart w:id="0" w:name="_GoBack"/>
      <w:bookmarkEnd w:id="0"/>
    </w:p>
    <w:tbl>
      <w:tblPr>
        <w:tblW w:w="993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500"/>
        <w:gridCol w:w="1159"/>
        <w:gridCol w:w="1133"/>
        <w:gridCol w:w="1018"/>
        <w:gridCol w:w="1189"/>
        <w:gridCol w:w="44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人才层次</w:t>
            </w:r>
          </w:p>
        </w:tc>
        <w:tc>
          <w:tcPr>
            <w:tcW w:w="2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科研启动费</w:t>
            </w:r>
          </w:p>
        </w:tc>
        <w:tc>
          <w:tcPr>
            <w:tcW w:w="102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安家费和购房补贴</w:t>
            </w:r>
          </w:p>
        </w:tc>
        <w:tc>
          <w:tcPr>
            <w:tcW w:w="11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高层次人才津贴</w:t>
            </w:r>
          </w:p>
        </w:tc>
        <w:tc>
          <w:tcPr>
            <w:tcW w:w="44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其他待遇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82828"/>
                <w:spacing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自然科学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人文科学</w:t>
            </w:r>
          </w:p>
        </w:tc>
        <w:tc>
          <w:tcPr>
            <w:tcW w:w="102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82828"/>
                <w:spacing w:val="0"/>
                <w:sz w:val="20"/>
                <w:szCs w:val="20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82828"/>
                <w:spacing w:val="0"/>
                <w:sz w:val="20"/>
                <w:szCs w:val="20"/>
              </w:rPr>
            </w:pPr>
          </w:p>
        </w:tc>
        <w:tc>
          <w:tcPr>
            <w:tcW w:w="44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82828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4" w:hRule="atLeast"/>
        </w:trPr>
        <w:tc>
          <w:tcPr>
            <w:tcW w:w="9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一类人才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不低于1000万元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不低于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200万元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300万元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年薪制，每年不低于200万元。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1、聘为教授或研究员，聘为博士生导师，每年给予博士研究生和硕士研究生招生指标。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2、提供良好的办公和科研等工作条件，配备学术团队及工作助手。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3、解决配偶及子女工作，协助解决子女入学。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4" w:hRule="atLeast"/>
        </w:trPr>
        <w:tc>
          <w:tcPr>
            <w:tcW w:w="9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二类人才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不低于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500万元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不低于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100万元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不低于200万元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年薪制，每年不低于100万元。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1、聘为教授或研究员，聘为博士生导师，每年给予博士研究生和硕士研究生招生指标。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2、提供良好的办公和科研等工作条件，配备学术团队及工作助手。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3、解决配偶及子女工作，协助解决子女入学。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4" w:hRule="atLeast"/>
        </w:trPr>
        <w:tc>
          <w:tcPr>
            <w:tcW w:w="9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三类人才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不低于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200万元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不低于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60万元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不低于100万元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年薪制，每年不低于50万元。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1、聘为教授或研究员，聘为博士生导师，每年给予博士研究生和硕士研究生招生指标。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2、提供良好的办公和科研等工作条件，配备工作助手。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3、解决配偶或子女工作，协助解决子女入学。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4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四类人才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A档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100万元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20万元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50万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享受正高待遇，首聘期另享受90万元的人才津贴。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1、聘为教授或研究员，聘为博士生导师，每年给予博士研究生和硕士研究生招生指标。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2、提供良好的办公和科研等工作条件，配备工作助手。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3、解决配偶工作，协助解决子女入学。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4" w:hRule="atLeast"/>
        </w:trPr>
        <w:tc>
          <w:tcPr>
            <w:tcW w:w="4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82828"/>
                <w:spacing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B档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50万元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15万元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40万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享受正高待遇，首聘期另享受60万元的人才津贴。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1、聘为教授或研究员，聘为博士生导师，每年给予博士研究生和硕士研究生招生指标。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2、提供良好的办公和科研等工作条件，配备工作助手。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3、解决配偶工作，协助解决子女入学。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4" w:hRule="atLeast"/>
        </w:trPr>
        <w:tc>
          <w:tcPr>
            <w:tcW w:w="4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82828"/>
                <w:spacing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C档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35万元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10万元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30万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享受正高待遇，首聘期另享受48万元的人才津贴。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1、聘为教授或研究员，聘为硕士生导师，每年给予硕士研究生招生指标。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2、提供必要的工作室、实验室。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3、解决配偶工作，协助解决子女入学。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4" w:hRule="atLeast"/>
        </w:trPr>
        <w:tc>
          <w:tcPr>
            <w:tcW w:w="9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五类人才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20万元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5万元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20万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享受副高待遇，首聘期另享受30万元的人才津贴。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1、聘为副教授或副研究员，聘为硕士生导师，每年给予硕士研究生招生指标。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2、提供必要的工作室、实验室。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3、协助解决配偶工作和子女入学。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9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普通博士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10万元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2万元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20万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0"/>
                <w:szCs w:val="20"/>
                <w:bdr w:val="none" w:color="auto" w:sz="0" w:space="0"/>
              </w:rPr>
              <w:t>租房补助：1.2万元/年，享受两年。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975FD"/>
    <w:rsid w:val="16797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2021-04-07T12:41:00Z</dcterms:created>
  <dc:creator>WPS_1609033458</dc:creator>
  <cp:lastModifiedBy>WPS_1609033458</cp:lastModifiedBy>
  <dcterms:modified xsi:type="dcterms:W3CDTF">2021-04-07T12:41:20Z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043835531DEC4BDBB6EE80CB8F22F6DC</vt:lpwstr>
  </property>
</Properties>
</file>