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cs="Times New Roman"/>
          <w:color w:val="auto"/>
          <w:sz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-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2021年温州市资源化利用科技有限公司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专业资格审查办法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一、“人力资源管理”相关专业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人力资源管理、劳动经济、劳动与社会保障等。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、 “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法学类</w:t>
      </w: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”相关专业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ar-SA"/>
        </w:rPr>
        <w:t>法学、法行政学、商法、法律等相关专业。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、“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企业管理</w:t>
      </w: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” 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企业管理、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  <w:shd w:val="clear" w:color="auto" w:fill="FFFFFF"/>
        </w:rPr>
        <w:t>工商管理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土地资源管理、城市规划、投资学、经济学、金融学、统计学、市场营销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、“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  <w:t>设备工程</w:t>
      </w:r>
      <w: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  <w:t>”相关专业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>化工设备技术、化工自动化技术、化工装备与控制工程、环保设备工程、建筑材料设备应用、电气工程及其自动化等相关专业。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注：学历通过学信网查证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720C"/>
    <w:rsid w:val="2BA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2021-04-07T06:24:00Z</dcterms:created>
  <dc:creator>季中巧</dc:creator>
  <cp:lastModifiedBy>季中巧</cp:lastModifiedBy>
  <dcterms:modified xsi:type="dcterms:W3CDTF">2021-04-07T06:25:32Z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F32C1CAB324E4827A384926334948636</vt:lpwstr>
  </property>
</Properties>
</file>