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年泉州市事业单位公开招聘编制内工作人员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（卫生类）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公告》，本人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2021届毕业生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离校未就业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</w:rPr>
        <w:t>201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年、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2020年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</w:rPr>
        <w:t>毕业并取得学历（学位）证书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</w:rPr>
        <w:t>的高校毕业生，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none"/>
          <w:shd w:val="clear" w:color="auto" w:fill="FFFFFF"/>
        </w:rPr>
        <w:t>档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案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关系仍保留在原毕业学校，或保留在各级毕业生就业主管部门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(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毕业生就业指导服务中心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)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、各级人才交流服务机构和各级公共就业服务机构。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在国（境）外教学科研机构学习，与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201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年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国（境）内普通高校毕业生同期毕业，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离校未就业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的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</w:rPr>
        <w:t>留学毕业生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spacing w:line="54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FD27A3"/>
    <w:rsid w:val="5DFD27A3"/>
    <w:rsid w:val="754026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2020-08-10T12:52:00Z</dcterms:created>
  <dc:creator>NJ</dc:creator>
  <cp:lastModifiedBy>NJ</cp:lastModifiedBy>
  <dcterms:modified xsi:type="dcterms:W3CDTF">2021-04-20T12:45:03Z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1111672DED0B4BED991C7867487C5528</vt:lpwstr>
  </property>
</Properties>
</file>