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黑体_GBK" w:eastAsia="方正黑体_GBK"/>
          <w:bCs/>
          <w:sz w:val="32"/>
          <w:szCs w:val="32"/>
          <w:lang w:bidi="ar"/>
        </w:rPr>
        <w:t>附件</w:t>
      </w:r>
      <w:r>
        <w:rPr>
          <w:rFonts w:hint="eastAsia" w:ascii="方正黑体_GBK" w:eastAsia="方正黑体_GBK"/>
          <w:bCs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：</w:t>
      </w:r>
    </w:p>
    <w:p>
      <w:pPr>
        <w:widowControl/>
        <w:spacing w:line="600" w:lineRule="exact"/>
        <w:jc w:val="center"/>
        <w:rPr>
          <w:rFonts w:ascii="方正小标宋_GBK" w:eastAsia="方正小标宋_GBK"/>
          <w:sz w:val="32"/>
          <w:szCs w:val="32"/>
          <w:lang w:bidi="ar"/>
        </w:rPr>
      </w:pPr>
      <w:r>
        <w:rPr>
          <w:rFonts w:hint="eastAsia" w:ascii="方正小标宋_GBK" w:eastAsia="方正小标宋_GBK"/>
          <w:sz w:val="32"/>
          <w:szCs w:val="32"/>
          <w:lang w:bidi="ar"/>
        </w:rPr>
        <w:t>丽江师范高等专科学校2021年事业单位公开招聘工作人员计划表</w:t>
      </w:r>
    </w:p>
    <w:tbl>
      <w:tblPr>
        <w:tblStyle w:val="3"/>
        <w:tblW w:w="14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47"/>
        <w:gridCol w:w="1417"/>
        <w:gridCol w:w="992"/>
        <w:gridCol w:w="800"/>
        <w:gridCol w:w="1646"/>
        <w:gridCol w:w="800"/>
        <w:gridCol w:w="3417"/>
        <w:gridCol w:w="248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专      业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其他招聘条件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教育学原理、课程与教学论（数学、语文）、比较教育学、初等教育学、基础教育学、学科教学（数学、语文）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学前教育学、学前教育、教育学原理、比较教育学、特殊教育学、特殊教育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音乐学、音乐与舞蹈学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本科为音乐与舞蹈学类专业或者艺术教育专业。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本科为美术学类专业或者艺术教育专业。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动物学、微生物学、生物化学与分子生物学、生理学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音乐、舞蹈、音乐学、舞蹈学、音乐与舞蹈学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本科为音乐与舞蹈学类专业或者艺术教育专业。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体育学（学科）、体育（专业领域）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本科为体育类专业。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中国现当代文学、中国古典文献学、中国古代文学、语言学及应用语言学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数学（学科）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教育学原理、课程与教学论（数学、语文）、比较教育学、初等教育学、基础教育学、学科教学（数学、语文）、教育史、学前教育学、学前教育、特殊教育学、特殊教育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中国语言文学（学科）、新闻与传播学（学科）、新闻与传播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数学（学科）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物流管理、物流工程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体育学（学科）、体育（专业领域）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中共党员；本科为体育类专业。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美术、艺术设计、动画学、美术学、中国书画、传媒创意与设计学、动画艺术学、设计学、设计艺术学、数字媒体艺术、数字媒体艺术设计与理论、信息艺术设计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中共党员；本科为美术学类、设计学类专业或者艺术教育专业。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1．本次公开招聘参照教育部“专业目录”执行，报名时按毕业证上的专业名称填写；</w:t>
      </w:r>
    </w:p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2．专业一栏没有明确层级的，均为具体专业；</w:t>
      </w:r>
    </w:p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3．应聘人员必须按要求如实填报，提供信息不实的按弄虚作假处理，取消应聘资格等。</w:t>
      </w:r>
    </w:p>
    <w:p>
      <w:pPr>
        <w:widowControl/>
        <w:spacing w:line="0" w:lineRule="atLeas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4．博士常年招聘，专业不限，根据学校实际需要经面试后聘用。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6EB5"/>
    <w:rsid w:val="0FA1691D"/>
    <w:rsid w:val="45376EB5"/>
    <w:rsid w:val="5BE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2021-04-22T09:21:00Z</dcterms:created>
  <dc:creator>Beta</dc:creator>
  <cp:lastModifiedBy>ぺ灬cc果冻ル</cp:lastModifiedBy>
  <dcterms:modified xsi:type="dcterms:W3CDTF">2021-04-23T01:29:51Z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