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widowControl/>
        <w:snapToGrid w:val="0"/>
        <w:contextualSpacing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napToGrid w:val="0"/>
        <w:contextualSpacing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  <w:t>需求计划表</w:t>
      </w:r>
      <w:bookmarkEnd w:id="0"/>
    </w:p>
    <w:p>
      <w:pPr>
        <w:snapToGrid w:val="0"/>
        <w:spacing w:line="480" w:lineRule="exact"/>
        <w:rPr>
          <w:rFonts w:ascii="楷体_GB2312" w:eastAsia="楷体_GB2312"/>
          <w:b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15"/>
        <w:gridCol w:w="910"/>
        <w:gridCol w:w="737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业务处室专业技术岗位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临床医学类、药学类、中药学类、公共管理类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博士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1．参与公立医院绩效考核、满意度调查、信息化建设等工作。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2．承担策划、组织和实施相关业务活动，草拟方案并参与组织实施，撰写报告等。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3．完成领导交办的其他工作。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综合处室管理岗位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马克思主义理论类、计算机类、临床医学类、公共管理类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硕士及以上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参与党群人事、</w:t>
            </w:r>
            <w:r>
              <w:rPr>
                <w:rFonts w:ascii="仿宋_GB2312" w:eastAsia="仿宋_GB2312"/>
                <w:szCs w:val="21"/>
              </w:rPr>
              <w:t>文电档案</w:t>
            </w:r>
            <w:r>
              <w:rPr>
                <w:rFonts w:hint="eastAsia" w:ascii="仿宋_GB2312" w:eastAsia="仿宋_GB2312"/>
                <w:szCs w:val="21"/>
              </w:rPr>
              <w:t>、安全保卫、物资后勤、</w:t>
            </w:r>
            <w:r>
              <w:rPr>
                <w:rFonts w:ascii="仿宋_GB2312" w:eastAsia="仿宋_GB2312"/>
                <w:szCs w:val="21"/>
              </w:rPr>
              <w:t>固定资产管理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政府采购等日常工作综合协调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承担策划、组织和实施相关业务活动，草拟方案并参与组织实施，撰写报告等。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3．完成领导交办的其他工作。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81B"/>
    <w:multiLevelType w:val="multilevel"/>
    <w:tmpl w:val="137C281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07623"/>
    <w:rsid w:val="17407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2021-04-22T09:30:00Z</dcterms:created>
  <dc:creator>user</dc:creator>
  <cp:lastModifiedBy>user</cp:lastModifiedBy>
  <dcterms:modified xsi:type="dcterms:W3CDTF">2021-04-22T09:31:34Z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