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33FF"/>
          <w:spacing w:val="0"/>
          <w:sz w:val="25"/>
          <w:szCs w:val="25"/>
        </w:rPr>
        <w:t>中国科学院长春光学精密机械与物理研究所Light中心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73737"/>
          <w:spacing w:val="0"/>
          <w:sz w:val="21"/>
          <w:szCs w:val="21"/>
        </w:rPr>
        <w:t>岗位需求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17"/>
          <w:szCs w:val="17"/>
        </w:rPr>
        <w:t> </w:t>
      </w:r>
    </w:p>
    <w:bookmarkEnd w:id="0"/>
    <w:tbl>
      <w:tblPr>
        <w:tblW w:w="78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55"/>
        <w:gridCol w:w="4480"/>
        <w:gridCol w:w="10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9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9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9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主要从事工作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9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1"/>
                <w:szCs w:val="21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1"/>
                <w:szCs w:val="21"/>
                <w:u w:val="none"/>
                <w:lang w:val="en-US" w:eastAsia="zh-CN" w:bidi="ar"/>
              </w:rPr>
              <w:t>活动策划与执行专员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、组织完成</w:t>
            </w: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中心“在线活动”（面向社会的培训课程、学术沙龙、产业会议等）的整体策划与执行；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中心“在线活动”生命周期管理，包括课程立项、开发、包装、制定开课计划、制定项目开发和迭代计划；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u w:val="none"/>
                <w:lang w:val="en-US" w:eastAsia="zh-CN" w:bidi="ar"/>
              </w:rPr>
              <w:t>、调研国内光电的前沿动态，组织开设新领域的线下专业培训、会议及展会，并完成招生以及现场组织工作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D767A"/>
    <w:rsid w:val="188D7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2021-04-30T01:30:00Z</dcterms:created>
  <dc:creator>WPS_1609033458</dc:creator>
  <cp:lastModifiedBy>WPS_1609033458</cp:lastModifiedBy>
  <dcterms:modified xsi:type="dcterms:W3CDTF">2021-04-30T01:30:34Z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CB11B8C4536546988098D6D341CE91F8</vt:lpwstr>
  </property>
</Properties>
</file>