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ascii="微软雅黑" w:hAnsi="微软雅黑" w:eastAsia="微软雅黑" w:cs="微软雅黑"/>
          <w:i w:val="0"/>
          <w:caps w:val="0"/>
          <w:color w:val="686868"/>
          <w:spacing w:val="0"/>
          <w:sz w:val="24"/>
          <w:szCs w:val="24"/>
        </w:rPr>
      </w:pPr>
      <w:bookmarkStart w:id="0" w:name="_GoBack"/>
      <w:r>
        <w:rPr>
          <w:rFonts w:hint="eastAsia" w:ascii="微软雅黑" w:hAnsi="微软雅黑" w:eastAsia="微软雅黑" w:cs="微软雅黑"/>
          <w:i w:val="0"/>
          <w:caps w:val="0"/>
          <w:color w:val="686868"/>
          <w:spacing w:val="0"/>
          <w:sz w:val="24"/>
          <w:szCs w:val="24"/>
          <w:bdr w:val="none" w:color="auto" w:sz="0" w:space="0"/>
        </w:rPr>
        <w:t>招聘单位、岗位、人数、专业、学历和范围及资格条件</w:t>
      </w:r>
    </w:p>
    <w:bookmarkEnd w:id="0"/>
    <w:tbl>
      <w:tblPr>
        <w:tblW w:w="8520" w:type="dxa"/>
        <w:tblCellSpacing w:w="0" w:type="dxa"/>
        <w:tblInd w:w="1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0"/>
        <w:gridCol w:w="465"/>
        <w:gridCol w:w="509"/>
        <w:gridCol w:w="2114"/>
        <w:gridCol w:w="1694"/>
        <w:gridCol w:w="465"/>
        <w:gridCol w:w="255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tblCellSpacing w:w="0" w:type="dxa"/>
        </w:trPr>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招聘岗位</w:t>
            </w:r>
          </w:p>
        </w:tc>
        <w:tc>
          <w:tcPr>
            <w:tcW w:w="4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岗位类别</w:t>
            </w:r>
          </w:p>
        </w:tc>
        <w:tc>
          <w:tcPr>
            <w:tcW w:w="5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招聘人数</w:t>
            </w:r>
          </w:p>
        </w:tc>
        <w:tc>
          <w:tcPr>
            <w:tcW w:w="213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岗位职责</w:t>
            </w:r>
          </w:p>
        </w:tc>
        <w:tc>
          <w:tcPr>
            <w:tcW w:w="169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岗位专业及学历（学位）要求</w:t>
            </w:r>
          </w:p>
        </w:tc>
        <w:tc>
          <w:tcPr>
            <w:tcW w:w="45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招聘范围</w:t>
            </w:r>
          </w:p>
        </w:tc>
        <w:tc>
          <w:tcPr>
            <w:tcW w:w="25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其他资格条件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中东欧研究所国际部干事1</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管理</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1.数据的采集、建模、分析挖掘及可视化等；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2.根据业务需要分析数据，提供数据支持；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3.数据产品的运维和监控，保障数据质量和服务稳定性。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4.从事一定的外事工作，能适应国内外出差。</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2.计算机科学与技术（0812)、软件工程（0835)、数学(0701)、统计学（0714）专业。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1.已取得学历学位的历届生，35周岁及以下；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2.英语六级（425分以上），或雅思5.5分及以上，或托福IBT90分；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3.男性。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中东欧研究所国际部干事2</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管理</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1.数据的采集、建模、分析挖掘及可视化等；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2.根据业务需要分析数据，提供数据支持；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3.数据产品的运维和监控，保障数据质量和服务稳定性。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4.从事一定的外事工作，能适应国内外出差。</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2.计算机科学与技术（0812)、软件工程（0835)、数学(0701)、统计学（0714）专业。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1.已取得学历学位的历届生，35周岁及以下；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2.英语六级（425分以上），或雅思5.5分及以上，或托福IBT90分；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3.女性。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财务管理1</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会计核算及财务管理</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2.本科为会计(120203K)、财务管理(120204)、经济学(0201)专业，研究生专业不限。</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1.已取得学历学位的历届生，35周岁及以下；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2.有2年及以上高校财务工作经历。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财务管理2</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会计核算及财务分析、财务会计信息化</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2.工商管理(1202)、经济学(0202)、计算机科学与技术(0812)、软件工程(0835)专业。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1、2021年普通高校毕业生；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2、已取得学历学位的历届生，年龄35周岁及以下。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材化学院化工安全实训中心教师（实验员）</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从事化工安全实训及其相关管理工作</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2.本科为化学工程与工艺专业，研究生为化学工程与技术（0817）一级学科相关专业。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1.已取得学历学位的历届生，，年龄35周岁及以下；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2.有3年及以上石油化工企业一线生产岗位工作经历；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3.中级及以上技术职称。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材化学院教师（实验员）</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从事大型仪器使用及其相关管理工作，会使用X射线光电子能谱技术（XPS）设备。</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2.研究生为化学工程与技术（0817）或化学（0703）一级学科相关专业。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1.已取得学历学位的历届生，年龄40周岁及以下；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2.有高校化学化工类实验室工作经历。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理学院实验员</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1、从事数据处理、统计分析等相关技术、实践工作及教学工作。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2、从事实验室管理相关工作。</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2.统计学类（0714）专业、数学类（0701）专业。</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1.已取得学历学位的历届生，年龄35周岁及以下;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2.英语六级（425分以上），或雅思5.5分及以上，或托福IBT90分。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排球教师</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大学生体育（排球）教学</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2.体育类专业，排球方向，需提供主修课程证明。</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拥有国家一级及以上运动员证书、近5年专项运动成绩在可授予运动员等级称号的综合性运动会或单项锦标赛中进入前6名且符合下列条件之一：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1、2021年普通高校毕业生； 2、已取得学历学位的历届生，年龄30周岁及以下。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5" w:hRule="atLeast"/>
          <w:tblCellSpacing w:w="0" w:type="dxa"/>
        </w:trPr>
        <w:tc>
          <w:tcPr>
            <w:tcW w:w="7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游泳教师</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专技</w:t>
            </w:r>
          </w:p>
        </w:tc>
        <w:tc>
          <w:tcPr>
            <w:tcW w:w="51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w:t>
            </w:r>
          </w:p>
        </w:tc>
        <w:tc>
          <w:tcPr>
            <w:tcW w:w="213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大学生体育女生（游泳）教学</w:t>
            </w:r>
          </w:p>
        </w:tc>
        <w:tc>
          <w:tcPr>
            <w:tcW w:w="1695"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1.研究生学历、硕士及以上学位；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2.体育类专业，游泳方向，需提供主修课程证明。</w:t>
            </w:r>
          </w:p>
        </w:tc>
        <w:tc>
          <w:tcPr>
            <w:tcW w:w="45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全国</w:t>
            </w:r>
          </w:p>
        </w:tc>
        <w:tc>
          <w:tcPr>
            <w:tcW w:w="2580" w:type="dxa"/>
            <w:tcBorders>
              <w:top w:val="nil"/>
              <w:left w:val="nil"/>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女性，拥有国家一级及以上运动员证书、近5年专项运动成绩在可授予运动员等级称号的综合性运动会或单项锦标赛中进入前6名且符合下列条件之一：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686868"/>
                <w:sz w:val="24"/>
                <w:szCs w:val="24"/>
              </w:rPr>
            </w:pPr>
            <w:r>
              <w:rPr>
                <w:rFonts w:hint="eastAsia" w:ascii="微软雅黑" w:hAnsi="微软雅黑" w:eastAsia="微软雅黑" w:cs="微软雅黑"/>
                <w:i w:val="0"/>
                <w:caps w:val="0"/>
                <w:color w:val="686868"/>
                <w:spacing w:val="0"/>
                <w:sz w:val="24"/>
                <w:szCs w:val="24"/>
                <w:bdr w:val="none" w:color="auto" w:sz="0" w:space="0"/>
              </w:rPr>
              <w:t>1、2021年普通高校毕业生； 2、已取得学历学位的历届生，年龄30周岁及以下。</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微软雅黑" w:hAnsi="微软雅黑" w:eastAsia="微软雅黑" w:cs="微软雅黑"/>
          <w:i w:val="0"/>
          <w:caps w:val="0"/>
          <w:color w:val="686868"/>
          <w:spacing w:val="0"/>
          <w:sz w:val="24"/>
          <w:szCs w:val="24"/>
        </w:rPr>
      </w:pPr>
      <w:r>
        <w:rPr>
          <w:rFonts w:hint="eastAsia" w:ascii="微软雅黑" w:hAnsi="微软雅黑" w:eastAsia="微软雅黑" w:cs="微软雅黑"/>
          <w:i w:val="0"/>
          <w:caps w:val="0"/>
          <w:color w:val="686868"/>
          <w:spacing w:val="0"/>
          <w:sz w:val="24"/>
          <w:szCs w:val="24"/>
          <w:bdr w:val="none" w:color="auto" w:sz="0" w:space="0"/>
        </w:rPr>
        <w:t>注：1.年龄、工作经历的计算截止时间均为公告发布之日。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243FD"/>
    <w:rsid w:val="1CA24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2021-05-10T00:42:00Z</dcterms:created>
  <dc:creator>Administrator</dc:creator>
  <cp:lastModifiedBy>Administrator</cp:lastModifiedBy>
  <dcterms:modified xsi:type="dcterms:W3CDTF">2021-05-10T01:02:08Z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