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686868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86868"/>
          <w:spacing w:val="0"/>
          <w:sz w:val="19"/>
          <w:szCs w:val="19"/>
          <w:bdr w:val="none" w:color="auto" w:sz="0" w:space="0"/>
        </w:rPr>
        <w:t>招聘岗位、人数、专业、学历和范围及资格条件</w:t>
      </w:r>
    </w:p>
    <w:tbl>
      <w:tblPr>
        <w:tblW w:w="7644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67"/>
        <w:gridCol w:w="312"/>
        <w:gridCol w:w="934"/>
        <w:gridCol w:w="1510"/>
        <w:gridCol w:w="671"/>
        <w:gridCol w:w="1893"/>
        <w:gridCol w:w="119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4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类别</w:t>
            </w:r>
          </w:p>
        </w:tc>
        <w:tc>
          <w:tcPr>
            <w:tcW w:w="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职责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学历（学位）要求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范围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其他资格条件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0" w:type="dxa"/>
          <w:jc w:val="center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宁波市河道管理中心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河道生态治理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负责全市河道生态治理相关工作。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环境工程专业；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本科及以上学历、学士及以上学位。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  <w:bdr w:val="none" w:color="auto" w:sz="0" w:space="0"/>
              </w:rPr>
              <w:t>年龄在40周岁以下，具备高级工程师职称，有5年以上相关工作经历。</w:t>
            </w:r>
          </w:p>
        </w:tc>
      </w:tr>
    </w:tbl>
    <w:p>
      <w:pPr>
        <w:spacing w:line="240" w:lineRule="exact"/>
        <w:jc w:val="left"/>
        <w:rPr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23EE6"/>
    <w:rsid w:val="694246CA"/>
    <w:rsid w:val="7F72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2020-12-11T02:24:00Z</dcterms:created>
  <dc:creator>admin</dc:creator>
  <cp:lastModifiedBy>卜荣荣</cp:lastModifiedBy>
  <dcterms:modified xsi:type="dcterms:W3CDTF">2021-05-14T00:31:10Z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F07717CDD0834F6CB76D64539B6671BE</vt:lpwstr>
  </property>
</Properties>
</file>