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5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6ED3"/>
    <w:rsid w:val="31353F8C"/>
    <w:rsid w:val="7C5A58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2021-05-14T03:56:43Z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041AE42838BC407B8D3A370259DFCC53</vt:lpwstr>
  </property>
</Properties>
</file>