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88"/>
        <w:gridCol w:w="1350"/>
        <w:gridCol w:w="2250"/>
        <w:gridCol w:w="6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6" w:hRule="atLeast"/>
          <w:jc w:val="center"/>
        </w:trPr>
        <w:tc>
          <w:tcPr>
            <w:tcW w:w="12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center"/>
              <w:rPr>
                <w:rFonts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招聘岗位</w:t>
            </w:r>
          </w:p>
        </w:tc>
        <w:tc>
          <w:tcPr>
            <w:tcW w:w="13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center"/>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招聘人数</w:t>
            </w:r>
          </w:p>
        </w:tc>
        <w:tc>
          <w:tcPr>
            <w:tcW w:w="22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center"/>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招聘对象</w:t>
            </w:r>
          </w:p>
        </w:tc>
        <w:tc>
          <w:tcPr>
            <w:tcW w:w="631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center"/>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7" w:hRule="atLeast"/>
          <w:jc w:val="center"/>
        </w:trPr>
        <w:tc>
          <w:tcPr>
            <w:tcW w:w="12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center"/>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研究岗</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center"/>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4</w:t>
            </w:r>
          </w:p>
        </w:tc>
        <w:tc>
          <w:tcPr>
            <w:tcW w:w="2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both"/>
              <w:rPr>
                <w:rFonts w:hint="eastAsia" w:ascii="微软雅黑" w:hAnsi="微软雅黑" w:eastAsia="微软雅黑" w:cs="微软雅黑"/>
                <w:color w:val="333333"/>
                <w:sz w:val="27"/>
                <w:szCs w:val="27"/>
              </w:rPr>
            </w:pPr>
            <w:r>
              <w:rPr>
                <w:rFonts w:hint="eastAsia" w:ascii="微软雅黑" w:hAnsi="微软雅黑" w:eastAsia="微软雅黑" w:cs="微软雅黑"/>
                <w:color w:val="333333"/>
                <w:kern w:val="0"/>
                <w:sz w:val="27"/>
                <w:szCs w:val="27"/>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both"/>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国内普通高校应届毕业生、出站博士后、社会人员（京外户籍、京内户籍）、留学人员</w:t>
            </w:r>
          </w:p>
        </w:tc>
        <w:tc>
          <w:tcPr>
            <w:tcW w:w="6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both"/>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（1）具有博士学位，其中国内普通高校应届毕业生能如期毕业且顺利取得国家教育主管部门认证的学历、学位，留学人员能提供认定留学人员身份和经历的证明材料;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both"/>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（2）研究方向为中国史学理论与史学史、国家治理史、中华文明史、中国通史、海外中国学研究及中共党史研究;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both"/>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（3）具备扎实的专业知识和理论功底，较高的业务素质和科研能力，研究潜力可期。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5" w:hRule="atLeast"/>
          <w:jc w:val="center"/>
        </w:trPr>
        <w:tc>
          <w:tcPr>
            <w:tcW w:w="12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center"/>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编辑岗</w:t>
            </w:r>
          </w:p>
        </w:tc>
        <w:tc>
          <w:tcPr>
            <w:tcW w:w="13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center"/>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1</w:t>
            </w:r>
          </w:p>
        </w:tc>
        <w:tc>
          <w:tcPr>
            <w:tcW w:w="2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both"/>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国内普通高校应届毕业生、出站博士后、社会人员（京外户籍、京内户籍）、留学人员</w:t>
            </w:r>
          </w:p>
        </w:tc>
        <w:tc>
          <w:tcPr>
            <w:tcW w:w="63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both"/>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（1）具有历史学博士学位，其中国内普通高校应届毕业生能如期毕业且顺利取得国家教育主管部门认证的学历、学位，留学人员能提供认定留学人员身份和经历的证明材料;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both"/>
              <w:rPr>
                <w:rFonts w:hint="eastAsia" w:ascii="微软雅黑" w:hAnsi="微软雅黑" w:eastAsia="微软雅黑" w:cs="微软雅黑"/>
                <w:color w:val="333333"/>
                <w:sz w:val="27"/>
                <w:szCs w:val="27"/>
              </w:rPr>
            </w:pPr>
            <w:r>
              <w:rPr>
                <w:rFonts w:hint="eastAsia" w:ascii="宋体" w:hAnsi="宋体" w:eastAsia="宋体" w:cs="宋体"/>
                <w:b w:val="0"/>
                <w:bCs w:val="0"/>
                <w:color w:val="333333"/>
                <w:kern w:val="0"/>
                <w:sz w:val="24"/>
                <w:szCs w:val="24"/>
                <w:bdr w:val="none" w:color="auto" w:sz="0" w:space="0"/>
                <w:lang w:val="en-US" w:eastAsia="zh-CN" w:bidi="ar"/>
              </w:rPr>
              <w:t>（2）有较强的文字编辑能力，同等条件下，取得编辑资格证或有编辑工作经验者优先考虑。</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å¾®è½¯é›…é»‘">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E04AB"/>
    <w:rsid w:val="44363509"/>
    <w:rsid w:val="6B7E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2021-05-15T01:34:00Z</dcterms:created>
  <dc:creator>Yan</dc:creator>
  <cp:lastModifiedBy>Yan</cp:lastModifiedBy>
  <dcterms:modified xsi:type="dcterms:W3CDTF">2021-05-15T01:42:11Z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33AFFB7AFC014C0E9924FDA5B22F143F</vt:lpwstr>
  </property>
</Properties>
</file>