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tbl>
      <w:tblPr>
        <w:tblStyle w:val="3"/>
        <w:tblW w:w="9227" w:type="dxa"/>
        <w:tblInd w:w="-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925"/>
        <w:gridCol w:w="1219"/>
        <w:gridCol w:w="1200"/>
        <w:gridCol w:w="3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227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广州市天河区文化广电新闻出版局2019年公开招聘编外合同制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工作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人员资格审查资料目录表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2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25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3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报名表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在报名系统中打印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准考证</w:t>
            </w:r>
          </w:p>
        </w:tc>
        <w:tc>
          <w:tcPr>
            <w:tcW w:w="1219" w:type="dxa"/>
            <w:tcBorders>
              <w:lef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户口本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结婚证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如无法提供证明，可先提交办理鉴定受理单，并签订协议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27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27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   年    月     日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40"/>
    <w:rsid w:val="005C4B29"/>
    <w:rsid w:val="00805140"/>
    <w:rsid w:val="00B005B5"/>
    <w:rsid w:val="226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2019-02-15T07:52:00Z</dcterms:created>
  <dc:creator>gzpi</dc:creator>
  <cp:lastModifiedBy>未定义</cp:lastModifiedBy>
  <dcterms:modified xsi:type="dcterms:W3CDTF">2019-02-15T09:12:46Z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